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105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67"/>
        </w:trPr>
        <w:tc>
          <w:tcPr>
            <w:tcW w:w="1521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00"/>
        </w:trPr>
        <w:tc>
          <w:tcPr>
            <w:tcW w:w="1521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574"/>
        </w:trPr>
        <w:tc>
          <w:tcPr>
            <w:tcW w:w="1521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1057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31057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31057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310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1057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 w:rsidRPr="00470EF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анализ данных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BDA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 Основные понятия. ПК-1: Обоснование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подходов, используемых в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бизнес-анализе ПК-4: Планирование, организация и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аналитических работ в ИТ-проекте</w:t>
            </w: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алгоритмы интеллектуального анализа данных.ПК-1: Обоснование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подходов, используемых в бизнес-анализе ПК-4: Планирование, организация и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 работ в ИТ-проекте</w:t>
            </w: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инструментальные средства интеллектуального анализа данных.ПК-1: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подходов, используемых в бизнес-анализе ПК-4: Планирование,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аналитических работ в ИТ-проекте</w:t>
            </w: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управления аналитической деятельностью на основе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анализа данных.ПК-1: Обоснование подходов, используемых в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бизнес-анализе ПК-4: Планирование, организация и контроль аналитических работ в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ИТ-проекте</w:t>
            </w: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 по интеллектуальному анализу данных в цифровой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экономике.ПК-1: Обоснование подходов, используемых в бизнес-анализе ПК-4: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организация и контроль аналитических работ в ИТ-проекте</w:t>
            </w: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302"/>
        </w:trPr>
        <w:tc>
          <w:tcPr>
            <w:tcW w:w="1521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Default="00470EF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0577">
        <w:trPr>
          <w:trHeight w:hRule="exact" w:val="201"/>
        </w:trPr>
        <w:tc>
          <w:tcPr>
            <w:tcW w:w="1521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0577" w:rsidRPr="00470EF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Богданов Е.П. Интеллектуальный анализ данных [Электронный ресурс</w:t>
            </w:r>
            <w:proofErr w:type="gram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 ФГБОУ ВПО Волгоградский государственный аграрный университет, 2019. - 112 с. –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/1087885</w:t>
            </w:r>
          </w:p>
        </w:tc>
      </w:tr>
      <w:tr w:rsidR="00310577" w:rsidRPr="00470EF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 Д. М., Рыжкина Д. А. Интеллектуальные средства бизнес-аналитики [Электронный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/941734</w:t>
            </w:r>
          </w:p>
        </w:tc>
      </w:tr>
      <w:tr w:rsidR="00310577" w:rsidRPr="00470E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Методы и средства комплексного статистического анализа дан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/1815604</w:t>
            </w:r>
          </w:p>
        </w:tc>
      </w:tr>
      <w:tr w:rsidR="00310577" w:rsidRPr="00470EF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Назаров, Д. М., Бегичева, С. В., Ковтун, Д. Б., Назаров, А.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интел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лектуальный анализ данных [Электронный ресурс]:учебное пособие. - Москва: Ай Пи Ар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Медиа, 2023. - 304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/127201.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</w:tbl>
    <w:p w:rsidR="00310577" w:rsidRPr="00470EF5" w:rsidRDefault="00470EF5">
      <w:pPr>
        <w:rPr>
          <w:sz w:val="0"/>
          <w:szCs w:val="0"/>
          <w:lang w:val="ru-RU"/>
        </w:rPr>
      </w:pPr>
      <w:r w:rsidRPr="00470EF5">
        <w:rPr>
          <w:lang w:val="ru-RU"/>
        </w:rPr>
        <w:br w:type="page"/>
      </w:r>
    </w:p>
    <w:p w:rsidR="00310577" w:rsidRPr="00470EF5" w:rsidRDefault="00310577">
      <w:pPr>
        <w:rPr>
          <w:lang w:val="ru-RU"/>
        </w:rPr>
        <w:sectPr w:rsidR="00310577" w:rsidRPr="00470EF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057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05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Затонский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Информационные технологии: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информационных моделей и</w:t>
            </w:r>
            <w:r w:rsidRPr="00470EF5">
              <w:rPr>
                <w:lang w:val="ru-RU"/>
              </w:rPr>
              <w:br/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23.01.00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РИОР: ИНФРА-М, 2014. - 344 с.</w:t>
            </w:r>
          </w:p>
        </w:tc>
      </w:tr>
      <w:tr w:rsidR="00310577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Гурвиц Дж. С., 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Просто о больших</w:t>
            </w:r>
            <w:r w:rsidRPr="00470EF5">
              <w:rPr>
                <w:lang w:val="ru-RU"/>
              </w:rPr>
              <w:br/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данных:перевод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 с.</w:t>
            </w:r>
          </w:p>
        </w:tc>
      </w:tr>
      <w:tr w:rsidR="00310577" w:rsidRPr="00470EF5">
        <w:trPr>
          <w:trHeight w:hRule="exact" w:val="283"/>
        </w:trPr>
        <w:tc>
          <w:tcPr>
            <w:tcW w:w="10774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142"/>
        </w:trPr>
        <w:tc>
          <w:tcPr>
            <w:tcW w:w="10774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Default="00470E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0577">
        <w:trPr>
          <w:trHeight w:hRule="exact" w:val="284"/>
        </w:trPr>
        <w:tc>
          <w:tcPr>
            <w:tcW w:w="10774" w:type="dxa"/>
          </w:tcPr>
          <w:p w:rsidR="00310577" w:rsidRDefault="003105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0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70E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70EF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70EF5">
              <w:rPr>
                <w:lang w:val="ru-RU"/>
              </w:rPr>
              <w:t xml:space="preserve"> </w:t>
            </w:r>
            <w:proofErr w:type="gramStart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142"/>
        </w:trPr>
        <w:tc>
          <w:tcPr>
            <w:tcW w:w="10774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70EF5">
              <w:rPr>
                <w:lang w:val="ru-RU"/>
              </w:rPr>
              <w:br/>
            </w: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10577" w:rsidRPr="00470E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ИАД</w:t>
            </w:r>
            <w:r w:rsidRPr="00470EF5">
              <w:rPr>
                <w:lang w:val="ru-RU"/>
              </w:rPr>
              <w:t xml:space="preserve"> </w:t>
            </w:r>
          </w:p>
          <w:p w:rsidR="00310577" w:rsidRPr="00470EF5" w:rsidRDefault="00470EF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/2312/612/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470EF5">
              <w:rPr>
                <w:lang w:val="ru-RU"/>
              </w:rPr>
              <w:t xml:space="preserve"> </w:t>
            </w:r>
          </w:p>
        </w:tc>
      </w:tr>
      <w:tr w:rsidR="00310577" w:rsidRPr="00470EF5">
        <w:trPr>
          <w:trHeight w:hRule="exact" w:val="142"/>
        </w:trPr>
        <w:tc>
          <w:tcPr>
            <w:tcW w:w="10774" w:type="dxa"/>
          </w:tcPr>
          <w:p w:rsidR="00310577" w:rsidRPr="00470EF5" w:rsidRDefault="003105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10577" w:rsidRPr="00470EF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577" w:rsidRPr="00470EF5" w:rsidRDefault="00470EF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Галактионов</w:t>
            </w:r>
            <w:r w:rsidRPr="00470EF5">
              <w:rPr>
                <w:lang w:val="ru-RU"/>
              </w:rPr>
              <w:t xml:space="preserve"> </w:t>
            </w:r>
            <w:r w:rsidRPr="0047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А.Д.</w:t>
            </w:r>
            <w:r w:rsidRPr="00470EF5">
              <w:rPr>
                <w:lang w:val="ru-RU"/>
              </w:rPr>
              <w:t xml:space="preserve"> </w:t>
            </w:r>
          </w:p>
        </w:tc>
      </w:tr>
    </w:tbl>
    <w:p w:rsidR="00470EF5" w:rsidRPr="00470EF5" w:rsidRDefault="00470EF5">
      <w:pPr>
        <w:rPr>
          <w:color w:val="FFFFFF"/>
          <w:sz w:val="2"/>
          <w:szCs w:val="2"/>
          <w:lang w:val="ru-RU"/>
        </w:rPr>
      </w:pPr>
      <w:r w:rsidRPr="00470EF5">
        <w:rPr>
          <w:color w:val="FFFFFF"/>
          <w:sz w:val="2"/>
          <w:szCs w:val="2"/>
          <w:lang w:val="ru-RU"/>
        </w:rPr>
        <w:t>.</w:t>
      </w:r>
      <w:r w:rsidRPr="00470EF5">
        <w:rPr>
          <w:color w:val="FFFFFF"/>
          <w:sz w:val="2"/>
          <w:szCs w:val="2"/>
          <w:lang w:val="ru-RU"/>
        </w:rPr>
        <w:br w:type="page"/>
      </w:r>
    </w:p>
    <w:p w:rsidR="00470EF5" w:rsidRPr="00470EF5" w:rsidRDefault="00470EF5" w:rsidP="00470E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470E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470E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470EF5" w:rsidRPr="00470EF5" w:rsidRDefault="00470EF5" w:rsidP="00470EF5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b/>
          <w:sz w:val="24"/>
          <w:szCs w:val="24"/>
          <w:lang w:val="ru-RU"/>
        </w:rPr>
        <w:t>Список примерных тем для выполнения курсовых работ по дисциплине Интеллектуальный анализ данных.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Основные этапы разработки интеллектуальных систем бизнес-анализа;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Подготовка исходных данных к машинному обучению;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Создание Хранилища данных и организация доступа;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Оценка качества данных. </w:t>
      </w:r>
      <w:proofErr w:type="spellStart"/>
      <w:r w:rsidRPr="00470EF5">
        <w:rPr>
          <w:rFonts w:ascii="Times New Roman" w:hAnsi="Times New Roman" w:cs="Times New Roman"/>
          <w:bCs/>
          <w:sz w:val="24"/>
          <w:szCs w:val="24"/>
          <w:lang w:val="ru-RU"/>
        </w:rPr>
        <w:t>Профайлинг</w:t>
      </w:r>
      <w:proofErr w:type="spellEnd"/>
      <w:r w:rsidRPr="00470E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аудит данных;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Проблема пропущенных данных и ее возможные решения;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Редактирование выбросов и аномальных значений;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Поиск и редактирование дубликатов и противоречий;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EF5">
        <w:rPr>
          <w:rFonts w:ascii="Times New Roman" w:hAnsi="Times New Roman" w:cs="Times New Roman"/>
          <w:sz w:val="24"/>
          <w:szCs w:val="24"/>
        </w:rPr>
        <w:t>Спектральная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ряда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>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Преобразование Дата/время при подготовке временного ряда;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Группировка и </w:t>
      </w:r>
      <w:proofErr w:type="spellStart"/>
      <w:r w:rsidRPr="00470EF5">
        <w:rPr>
          <w:rFonts w:ascii="Times New Roman" w:hAnsi="Times New Roman" w:cs="Times New Roman"/>
          <w:sz w:val="24"/>
          <w:szCs w:val="24"/>
          <w:lang w:val="ru-RU"/>
        </w:rPr>
        <w:t>разгруппировка</w:t>
      </w:r>
      <w:proofErr w:type="spellEnd"/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 данных. Задачи, решаемые группировкой;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Квантование данных. Назначение квантования. Параметры квантования, определение границ интервалов и задание меток;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Создание новых полей с помощью калькулятора;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Слияние наборов данных. Типы объединения;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Изменение структуры таблицы. Кросс-таблица и свертка столбцов;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Создание репрезентативного множества. </w:t>
      </w:r>
      <w:proofErr w:type="spellStart"/>
      <w:r w:rsidRPr="00470EF5">
        <w:rPr>
          <w:rFonts w:ascii="Times New Roman" w:hAnsi="Times New Roman" w:cs="Times New Roman"/>
          <w:sz w:val="24"/>
          <w:szCs w:val="24"/>
          <w:lang w:val="ru-RU"/>
        </w:rPr>
        <w:t>Сэмплинг</w:t>
      </w:r>
      <w:proofErr w:type="spellEnd"/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 и Разбиение на множества.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выборки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Размеры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обучающего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тестового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множества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>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Подготовка временного ряда к прогнозированию. Скользящее окно. Критерии выбора погружения в ряд;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Отбор переменных в модель логистической регрессии. Конечные классы. </w:t>
      </w:r>
      <w:proofErr w:type="spellStart"/>
      <w:r w:rsidRPr="00470EF5">
        <w:rPr>
          <w:rFonts w:ascii="Times New Roman" w:hAnsi="Times New Roman" w:cs="Times New Roman"/>
          <w:sz w:val="24"/>
          <w:szCs w:val="24"/>
          <w:lang w:val="en-US"/>
        </w:rPr>
        <w:t>WoE</w:t>
      </w:r>
      <w:proofErr w:type="spellEnd"/>
      <w:r w:rsidRPr="00470EF5">
        <w:rPr>
          <w:rFonts w:ascii="Times New Roman" w:hAnsi="Times New Roman" w:cs="Times New Roman"/>
          <w:sz w:val="24"/>
          <w:szCs w:val="24"/>
          <w:lang w:val="ru-RU"/>
        </w:rPr>
        <w:t>-анализ. Метрики классов и значимость входных признаков;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Применение скриптов в сценариях обработки данных;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Групповая обработка данных по похожим сценариям;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Применение переменных в сценариях обработки данных;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Оценка степени периодичности ряда с помощью метода автокорреляции;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Выявление закономерностей между связанными событиями. Ассоциативные правила. Шаблоны покупок. Достоверность и Лифт АП;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Задачи, решаемые с помощью кластеризации. Кластеризация 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>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>ЕМ-кластеризация. Автоматическое определение кластеров. Оценка на основе логарифмической функции правдоподобия;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 Кластеризация транзакций. Эвристический алгоритм 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CLOPE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>. Глобальная функция стоимости. Область применения кластеризации транзакций;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 Самоорганизующиеся карты (</w:t>
      </w:r>
      <w:proofErr w:type="spellStart"/>
      <w:r w:rsidRPr="00470EF5">
        <w:rPr>
          <w:rStyle w:val="foeeue2"/>
          <w:rFonts w:ascii="Times New Roman" w:hAnsi="Times New Roman" w:cs="Times New Roman"/>
          <w:sz w:val="24"/>
          <w:szCs w:val="24"/>
        </w:rPr>
        <w:t>Self</w:t>
      </w:r>
      <w:r w:rsidRPr="00470EF5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EF5">
        <w:rPr>
          <w:rStyle w:val="foeeue2"/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470EF5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EF5">
        <w:rPr>
          <w:rStyle w:val="foeeue2"/>
          <w:rFonts w:ascii="Times New Roman" w:hAnsi="Times New Roman" w:cs="Times New Roman"/>
          <w:sz w:val="24"/>
          <w:szCs w:val="24"/>
        </w:rPr>
        <w:t>Maps</w:t>
      </w:r>
      <w:r w:rsidRPr="00470EF5">
        <w:rPr>
          <w:rStyle w:val="foeeue2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70EF5">
        <w:rPr>
          <w:rStyle w:val="foeeue2"/>
          <w:rFonts w:ascii="Times New Roman" w:hAnsi="Times New Roman" w:cs="Times New Roman"/>
          <w:sz w:val="24"/>
          <w:szCs w:val="24"/>
        </w:rPr>
        <w:t>SOM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). Кластеризации многомерных векторов – алгоритм проецирования с сохранением топологического подобия.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Инициализация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начальных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весов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карт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>.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 Линейная регрессия. Коэффициенты регрессии. Область применения;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Логистическая регрессия. Прогнозирование бинарной переменной. Коэффициенты регрессии. 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r w:rsidRPr="00470EF5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470EF5">
        <w:rPr>
          <w:rFonts w:ascii="Times New Roman" w:hAnsi="Times New Roman" w:cs="Times New Roman"/>
          <w:sz w:val="24"/>
          <w:szCs w:val="24"/>
          <w:lang w:val="ru-RU"/>
        </w:rPr>
        <w:t xml:space="preserve">-анализ.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470EF5">
        <w:rPr>
          <w:rFonts w:ascii="Times New Roman" w:hAnsi="Times New Roman" w:cs="Times New Roman"/>
          <w:sz w:val="24"/>
          <w:szCs w:val="24"/>
        </w:rPr>
        <w:t>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Дерево решений. Нормализация полей. Обучающая выборка. Параметры обучения. Значимость атрибутов. Правила. </w:t>
      </w:r>
      <w:proofErr w:type="spellStart"/>
      <w:r w:rsidRPr="00470EF5">
        <w:rPr>
          <w:rFonts w:ascii="Times New Roman" w:hAnsi="Times New Roman" w:cs="Times New Roman"/>
          <w:bCs/>
          <w:sz w:val="24"/>
          <w:szCs w:val="24"/>
        </w:rPr>
        <w:t>Что-если</w:t>
      </w:r>
      <w:proofErr w:type="spellEnd"/>
      <w:r w:rsidRPr="00470EF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70EF5">
        <w:rPr>
          <w:rFonts w:ascii="Times New Roman" w:hAnsi="Times New Roman" w:cs="Times New Roman"/>
          <w:bCs/>
          <w:sz w:val="24"/>
          <w:szCs w:val="24"/>
        </w:rPr>
        <w:t>Таблица</w:t>
      </w:r>
      <w:proofErr w:type="spellEnd"/>
      <w:r w:rsidRPr="00470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5">
        <w:rPr>
          <w:rFonts w:ascii="Times New Roman" w:hAnsi="Times New Roman" w:cs="Times New Roman"/>
          <w:bCs/>
          <w:sz w:val="24"/>
          <w:szCs w:val="24"/>
        </w:rPr>
        <w:t>сопряженности</w:t>
      </w:r>
      <w:proofErr w:type="spellEnd"/>
      <w:r w:rsidRPr="00470EF5">
        <w:rPr>
          <w:rFonts w:ascii="Times New Roman" w:hAnsi="Times New Roman" w:cs="Times New Roman"/>
          <w:bCs/>
          <w:sz w:val="24"/>
          <w:szCs w:val="24"/>
        </w:rPr>
        <w:t>;</w:t>
      </w:r>
    </w:p>
    <w:p w:rsidR="00470EF5" w:rsidRPr="00470EF5" w:rsidRDefault="00470EF5" w:rsidP="00470EF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Нейронная сеть. Требования к обучающей и тестовой выборке. Задание структуры нейронной сети. Скрытые слои и активационная функция. Определение числа связей и переобучение сети. Область применения нейронных сетей.</w:t>
      </w:r>
    </w:p>
    <w:p w:rsidR="00470EF5" w:rsidRDefault="00470EF5" w:rsidP="00470EF5">
      <w:pPr>
        <w:jc w:val="center"/>
        <w:rPr>
          <w:b/>
          <w:color w:val="0000FF"/>
          <w:lang w:val="ru-RU"/>
        </w:rPr>
      </w:pPr>
    </w:p>
    <w:p w:rsidR="00470EF5" w:rsidRPr="00470EF5" w:rsidRDefault="00470EF5" w:rsidP="00470EF5">
      <w:pPr>
        <w:rPr>
          <w:b/>
          <w:color w:val="0000FF"/>
          <w:lang w:val="ru-RU"/>
        </w:rPr>
      </w:pPr>
      <w:r w:rsidRPr="00470E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470EF5">
        <w:rPr>
          <w:lang w:val="ru-RU"/>
        </w:rPr>
        <w:t xml:space="preserve"> </w:t>
      </w:r>
      <w:r w:rsidRPr="00470E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470EF5">
        <w:rPr>
          <w:lang w:val="ru-RU"/>
        </w:rPr>
        <w:t xml:space="preserve"> </w:t>
      </w:r>
      <w:r w:rsidRPr="00470E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Галактионов</w:t>
      </w:r>
      <w:r w:rsidRPr="00470EF5">
        <w:rPr>
          <w:lang w:val="ru-RU"/>
        </w:rPr>
        <w:t xml:space="preserve"> </w:t>
      </w:r>
      <w:r w:rsidRPr="00470E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А.Д.</w:t>
      </w:r>
      <w:bookmarkStart w:id="0" w:name="_GoBack"/>
      <w:bookmarkEnd w:id="0"/>
    </w:p>
    <w:p w:rsidR="00310577" w:rsidRPr="00470EF5" w:rsidRDefault="00310577">
      <w:pPr>
        <w:rPr>
          <w:lang w:val="ru-RU"/>
        </w:rPr>
      </w:pPr>
    </w:p>
    <w:sectPr w:rsidR="00310577" w:rsidRPr="00470E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988"/>
    <w:multiLevelType w:val="multilevel"/>
    <w:tmpl w:val="CD76CADA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0577"/>
    <w:rsid w:val="00470E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E6A4"/>
  <w15:docId w15:val="{B55881D7-F6E6-4F30-B1DA-A7FA7EA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character" w:customStyle="1" w:styleId="foeeue2">
    <w:name w:val="f_спеoeстeлue2"/>
    <w:basedOn w:val="a0"/>
    <w:qFormat/>
    <w:rsid w:val="0047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Company>УрГЭУ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2023-2024_09_04_03_М-ЦБА-23_plx_Интеллектуальный анализ данных</dc:title>
  <dc:creator>FastReport.NET</dc:creator>
  <cp:lastModifiedBy>Курбатова Валерия Платоновна</cp:lastModifiedBy>
  <cp:revision>2</cp:revision>
  <dcterms:created xsi:type="dcterms:W3CDTF">2023-06-26T04:19:00Z</dcterms:created>
  <dcterms:modified xsi:type="dcterms:W3CDTF">2023-06-26T04:20:00Z</dcterms:modified>
</cp:coreProperties>
</file>