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344E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344EB" w:rsidRDefault="000344EB"/>
        </w:tc>
      </w:tr>
      <w:tr w:rsidR="000344E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344EB" w:rsidRDefault="000344EB"/>
        </w:tc>
      </w:tr>
      <w:tr w:rsidR="000344EB">
        <w:trPr>
          <w:trHeight w:hRule="exact" w:val="212"/>
        </w:trPr>
        <w:tc>
          <w:tcPr>
            <w:tcW w:w="1521" w:type="dxa"/>
          </w:tcPr>
          <w:p w:rsidR="000344EB" w:rsidRDefault="000344EB"/>
        </w:tc>
        <w:tc>
          <w:tcPr>
            <w:tcW w:w="1600" w:type="dxa"/>
          </w:tcPr>
          <w:p w:rsidR="000344EB" w:rsidRDefault="000344EB"/>
        </w:tc>
        <w:tc>
          <w:tcPr>
            <w:tcW w:w="7089" w:type="dxa"/>
          </w:tcPr>
          <w:p w:rsidR="000344EB" w:rsidRDefault="000344EB"/>
        </w:tc>
        <w:tc>
          <w:tcPr>
            <w:tcW w:w="426" w:type="dxa"/>
          </w:tcPr>
          <w:p w:rsidR="000344EB" w:rsidRDefault="000344EB"/>
        </w:tc>
      </w:tr>
      <w:tr w:rsidR="000344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344E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0344E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0344E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344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r>
              <w:t xml:space="preserve"> </w:t>
            </w:r>
          </w:p>
        </w:tc>
      </w:tr>
      <w:tr w:rsidR="000344EB" w:rsidRPr="0025426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4EB" w:rsidRPr="0025426D" w:rsidRDefault="00254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5426D">
              <w:rPr>
                <w:lang w:val="ru-RU"/>
              </w:rPr>
              <w:t xml:space="preserve"> </w:t>
            </w:r>
          </w:p>
        </w:tc>
      </w:tr>
      <w:tr w:rsidR="000344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Default="00254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344E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Default="002542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Default="002542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344EB" w:rsidRPr="0025426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Default="0025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Pr="0025426D" w:rsidRDefault="0025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региональной экономики</w:t>
            </w:r>
          </w:p>
        </w:tc>
      </w:tr>
      <w:tr w:rsidR="000344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Default="0025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Default="00254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</w:tr>
      <w:tr w:rsidR="000344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Default="0025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Default="00254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</w:p>
        </w:tc>
      </w:tr>
      <w:tr w:rsidR="000344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Default="0025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Default="00254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</w:p>
        </w:tc>
      </w:tr>
      <w:tr w:rsidR="000344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Default="0025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Default="00254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</w:p>
        </w:tc>
      </w:tr>
      <w:tr w:rsidR="000344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Default="0025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Default="00254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регионе</w:t>
            </w:r>
            <w:proofErr w:type="spellEnd"/>
          </w:p>
        </w:tc>
      </w:tr>
      <w:tr w:rsidR="000344EB" w:rsidRPr="0025426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Default="0025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Pr="0025426D" w:rsidRDefault="0025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целевые программы социально-экономического развития: механизм разработки и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</w:t>
            </w:r>
          </w:p>
        </w:tc>
      </w:tr>
      <w:tr w:rsidR="000344EB" w:rsidRPr="0025426D">
        <w:trPr>
          <w:trHeight w:hRule="exact" w:val="295"/>
        </w:trPr>
        <w:tc>
          <w:tcPr>
            <w:tcW w:w="1521" w:type="dxa"/>
          </w:tcPr>
          <w:p w:rsidR="000344EB" w:rsidRPr="0025426D" w:rsidRDefault="000344E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344EB" w:rsidRPr="0025426D" w:rsidRDefault="000344E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344EB" w:rsidRPr="0025426D" w:rsidRDefault="00034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44EB" w:rsidRPr="0025426D" w:rsidRDefault="000344EB">
            <w:pPr>
              <w:rPr>
                <w:lang w:val="ru-RU"/>
              </w:rPr>
            </w:pPr>
          </w:p>
        </w:tc>
      </w:tr>
      <w:tr w:rsidR="000344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Default="00254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344EB">
        <w:trPr>
          <w:trHeight w:hRule="exact" w:val="196"/>
        </w:trPr>
        <w:tc>
          <w:tcPr>
            <w:tcW w:w="1521" w:type="dxa"/>
          </w:tcPr>
          <w:p w:rsidR="000344EB" w:rsidRDefault="000344EB"/>
        </w:tc>
        <w:tc>
          <w:tcPr>
            <w:tcW w:w="1600" w:type="dxa"/>
          </w:tcPr>
          <w:p w:rsidR="000344EB" w:rsidRDefault="000344EB"/>
        </w:tc>
        <w:tc>
          <w:tcPr>
            <w:tcW w:w="7089" w:type="dxa"/>
          </w:tcPr>
          <w:p w:rsidR="000344EB" w:rsidRDefault="000344EB"/>
        </w:tc>
        <w:tc>
          <w:tcPr>
            <w:tcW w:w="426" w:type="dxa"/>
          </w:tcPr>
          <w:p w:rsidR="000344EB" w:rsidRDefault="000344EB"/>
        </w:tc>
      </w:tr>
      <w:tr w:rsidR="000344E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44EB" w:rsidRPr="0025426D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44EB" w:rsidRPr="0025426D" w:rsidRDefault="002542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Лимонов Л. Э.,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Жихаревич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С., Власова Т. В.,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Одинг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Ю.,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Русецкая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Батчаев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Р., Березин М. П., Варламова О. Д., Кадочников Д. В.,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Жунда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Б. Региональная экономика и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пространственное развитие. Учебник для студентов вузов, обучающихся по экономическим направлениям</w:t>
            </w:r>
            <w:proofErr w:type="gram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томах]. Т. 2. [Электронный ресурс</w:t>
            </w:r>
            <w:proofErr w:type="gram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/433076</w:t>
            </w:r>
          </w:p>
        </w:tc>
      </w:tr>
      <w:tr w:rsidR="000344EB" w:rsidRPr="0025426D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44EB" w:rsidRPr="0025426D" w:rsidRDefault="002542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Лимонов Л. Э.,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Батчаев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Р., Бере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зин М. П., Варламова О. Д., Власова Т. В.,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Жихаревич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С.,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Жунда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Б., Заостровцев А. П., Кадочников Д. В. Региональная экономика и пространственное развитие. Учебник для студентов вузов, обучающихся по экономическим направлениям</w:t>
            </w:r>
            <w:proofErr w:type="gram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томах]. Т. 1. [Эл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ектронный ресурс</w:t>
            </w:r>
            <w:proofErr w:type="gram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/432782</w:t>
            </w:r>
          </w:p>
        </w:tc>
      </w:tr>
      <w:tr w:rsidR="000344EB" w:rsidRPr="0025426D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44EB" w:rsidRPr="0025426D" w:rsidRDefault="002542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Хмелева Г. А., Семенычев В. К. Региональное управление и территориальное планирование. [Электронный ресурс]</w:t>
            </w:r>
            <w:proofErr w:type="gram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обучающихся в вузах по напра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влению подготовки 38.03.04 «Государственное и муниципальное управление» (квалификация (степень) «бакалавр»). - Москва: ИНФРА-М,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/1002471</w:t>
            </w:r>
          </w:p>
        </w:tc>
      </w:tr>
      <w:tr w:rsidR="000344EB" w:rsidRPr="0025426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44EB" w:rsidRPr="0025426D" w:rsidRDefault="002542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Поздеева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Г., Иванова О. Ю. Региональная экономик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[Электронный ресурс]</w:t>
            </w:r>
            <w:proofErr w:type="gram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раткий курс лекций. - Екатеринбург: [Издательство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- 131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488733.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344E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0344EB" w:rsidRDefault="00254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344EB" w:rsidRPr="0025426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44EB" w:rsidRPr="0025426D" w:rsidRDefault="002542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Ильина И. Н., Леонард К. С.,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Лопатников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Л., Хорева О.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 Региональная экономика и управление развитием территорий. [Электронный ресурс]</w:t>
            </w:r>
            <w:proofErr w:type="gram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экономическим направлениям и специальностям. - Москва: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- 351 – Режим до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/433153</w:t>
            </w:r>
          </w:p>
        </w:tc>
      </w:tr>
      <w:tr w:rsidR="000344EB" w:rsidRPr="0025426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44EB" w:rsidRPr="0025426D" w:rsidRDefault="002542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Брагина З. В., Киселев И. К. Развитие регионов: диагностика региональных различий. [Электронный ресурс]</w:t>
            </w:r>
            <w:proofErr w:type="gram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2018.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/924759</w:t>
            </w:r>
          </w:p>
        </w:tc>
      </w:tr>
      <w:tr w:rsidR="000344EB" w:rsidRPr="0025426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44EB" w:rsidRPr="0025426D" w:rsidRDefault="002542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Махм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удова М. М., Ефремова В. В., Королева А. М. Социально-экономические трансформации региона в современных условиях. [Электронный ресурс]</w:t>
            </w:r>
            <w:proofErr w:type="gram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2019.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/948985</w:t>
            </w:r>
          </w:p>
        </w:tc>
      </w:tr>
      <w:tr w:rsidR="000344EB" w:rsidRPr="0025426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44EB" w:rsidRPr="0025426D" w:rsidRDefault="002542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Неоиндустриально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ориентированные преобразования в экономическом пространстве Уральского макрорегиона. [Электронный ресурс]</w:t>
            </w:r>
            <w:proofErr w:type="gram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:[</w:t>
            </w:r>
            <w:proofErr w:type="gram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Екатеринбург: Издательство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2017. - 195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489189.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344EB" w:rsidRPr="0025426D">
        <w:trPr>
          <w:trHeight w:hRule="exact" w:val="277"/>
        </w:trPr>
        <w:tc>
          <w:tcPr>
            <w:tcW w:w="10774" w:type="dxa"/>
          </w:tcPr>
          <w:p w:rsidR="000344EB" w:rsidRPr="0025426D" w:rsidRDefault="000344EB">
            <w:pPr>
              <w:rPr>
                <w:lang w:val="ru-RU"/>
              </w:rPr>
            </w:pPr>
          </w:p>
        </w:tc>
      </w:tr>
      <w:tr w:rsidR="000344EB" w:rsidRPr="0025426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Pr="0025426D" w:rsidRDefault="00254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5426D">
              <w:rPr>
                <w:lang w:val="ru-RU"/>
              </w:rPr>
              <w:t xml:space="preserve"> </w:t>
            </w:r>
          </w:p>
        </w:tc>
      </w:tr>
      <w:tr w:rsidR="000344E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44EB">
        <w:trPr>
          <w:trHeight w:hRule="exact" w:val="277"/>
        </w:trPr>
        <w:tc>
          <w:tcPr>
            <w:tcW w:w="10774" w:type="dxa"/>
          </w:tcPr>
          <w:p w:rsidR="000344EB" w:rsidRDefault="000344EB"/>
        </w:tc>
      </w:tr>
      <w:tr w:rsidR="000344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54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54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542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42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344EB" w:rsidRPr="0025426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44EB" w:rsidRPr="0025426D" w:rsidRDefault="002542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5426D">
              <w:rPr>
                <w:lang w:val="ru-RU"/>
              </w:rPr>
              <w:t xml:space="preserve"> </w:t>
            </w:r>
          </w:p>
        </w:tc>
      </w:tr>
      <w:tr w:rsidR="000344EB" w:rsidRPr="0025426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44EB" w:rsidRPr="0025426D" w:rsidRDefault="0025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54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0344EB" w:rsidRPr="0025426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44EB" w:rsidRPr="0025426D" w:rsidRDefault="002542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5426D">
              <w:rPr>
                <w:lang w:val="ru-RU"/>
              </w:rPr>
              <w:t xml:space="preserve"> </w:t>
            </w:r>
            <w:proofErr w:type="gram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5426D">
              <w:rPr>
                <w:lang w:val="ru-RU"/>
              </w:rPr>
              <w:t xml:space="preserve"> </w:t>
            </w:r>
          </w:p>
          <w:p w:rsidR="000344EB" w:rsidRPr="0025426D" w:rsidRDefault="002542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426D">
              <w:rPr>
                <w:lang w:val="ru-RU"/>
              </w:rPr>
              <w:t xml:space="preserve"> </w:t>
            </w:r>
          </w:p>
        </w:tc>
      </w:tr>
      <w:tr w:rsidR="000344E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44EB" w:rsidRDefault="002542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542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344EB" w:rsidRDefault="002542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344EB" w:rsidRDefault="002542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344EB" w:rsidRPr="0025426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4EB" w:rsidRPr="0025426D" w:rsidRDefault="00254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5426D">
              <w:rPr>
                <w:lang w:val="ru-RU"/>
              </w:rPr>
              <w:t xml:space="preserve"> </w:t>
            </w:r>
            <w:proofErr w:type="spellStart"/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Поздеева</w:t>
            </w:r>
            <w:proofErr w:type="spellEnd"/>
            <w:r w:rsidRPr="0025426D">
              <w:rPr>
                <w:lang w:val="ru-RU"/>
              </w:rPr>
              <w:t xml:space="preserve"> </w:t>
            </w:r>
            <w:r w:rsidRPr="00254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О.Г.</w:t>
            </w:r>
            <w:r w:rsidRPr="0025426D">
              <w:rPr>
                <w:lang w:val="ru-RU"/>
              </w:rPr>
              <w:t xml:space="preserve"> </w:t>
            </w:r>
          </w:p>
        </w:tc>
      </w:tr>
    </w:tbl>
    <w:p w:rsidR="000344EB" w:rsidRDefault="000344EB">
      <w:pPr>
        <w:rPr>
          <w:lang w:val="ru-RU"/>
        </w:rPr>
      </w:pPr>
    </w:p>
    <w:p w:rsidR="0025426D" w:rsidRDefault="0025426D">
      <w:pPr>
        <w:rPr>
          <w:lang w:val="ru-RU"/>
        </w:rPr>
      </w:pPr>
    </w:p>
    <w:p w:rsidR="0025426D" w:rsidRDefault="0025426D">
      <w:pPr>
        <w:rPr>
          <w:lang w:val="ru-RU"/>
        </w:rPr>
      </w:pPr>
    </w:p>
    <w:p w:rsidR="0025426D" w:rsidRDefault="0025426D">
      <w:pPr>
        <w:rPr>
          <w:lang w:val="ru-RU"/>
        </w:rPr>
      </w:pPr>
    </w:p>
    <w:p w:rsidR="0025426D" w:rsidRDefault="0025426D">
      <w:pPr>
        <w:rPr>
          <w:lang w:val="ru-RU"/>
        </w:rPr>
      </w:pPr>
    </w:p>
    <w:p w:rsidR="0025426D" w:rsidRDefault="0025426D">
      <w:pPr>
        <w:rPr>
          <w:lang w:val="ru-RU"/>
        </w:rPr>
      </w:pPr>
    </w:p>
    <w:p w:rsidR="0025426D" w:rsidRDefault="0025426D">
      <w:pPr>
        <w:rPr>
          <w:lang w:val="ru-RU"/>
        </w:rPr>
      </w:pPr>
    </w:p>
    <w:p w:rsidR="0025426D" w:rsidRDefault="0025426D">
      <w:pPr>
        <w:rPr>
          <w:lang w:val="ru-RU"/>
        </w:rPr>
      </w:pPr>
    </w:p>
    <w:p w:rsidR="0025426D" w:rsidRDefault="0025426D">
      <w:pPr>
        <w:rPr>
          <w:lang w:val="ru-RU"/>
        </w:rPr>
      </w:pPr>
    </w:p>
    <w:p w:rsidR="0025426D" w:rsidRDefault="0025426D">
      <w:pPr>
        <w:rPr>
          <w:lang w:val="ru-RU"/>
        </w:rPr>
      </w:pPr>
    </w:p>
    <w:p w:rsidR="0025426D" w:rsidRDefault="0025426D">
      <w:pPr>
        <w:rPr>
          <w:lang w:val="ru-RU"/>
        </w:rPr>
      </w:pPr>
    </w:p>
    <w:p w:rsidR="0025426D" w:rsidRDefault="0025426D">
      <w:pPr>
        <w:rPr>
          <w:lang w:val="ru-RU"/>
        </w:rPr>
      </w:pPr>
      <w:bookmarkStart w:id="0" w:name="_GoBack"/>
      <w:bookmarkEnd w:id="0"/>
    </w:p>
    <w:p w:rsidR="0025426D" w:rsidRDefault="0025426D" w:rsidP="0025426D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FF"/>
        </w:rPr>
      </w:pPr>
      <w:r>
        <w:rPr>
          <w:rFonts w:ascii="Times New Roman" w:hAnsi="Times New Roman" w:cs="Times New Roman"/>
          <w:b/>
          <w:snapToGrid w:val="0"/>
          <w:color w:val="0000FF"/>
        </w:rPr>
        <w:lastRenderedPageBreak/>
        <w:t xml:space="preserve">7.3.3. </w:t>
      </w:r>
      <w:proofErr w:type="spellStart"/>
      <w:r>
        <w:rPr>
          <w:rFonts w:ascii="Times New Roman" w:hAnsi="Times New Roman" w:cs="Times New Roman"/>
          <w:b/>
          <w:snapToGrid w:val="0"/>
          <w:color w:val="0000FF"/>
        </w:rPr>
        <w:t>Перечень</w:t>
      </w:r>
      <w:proofErr w:type="spellEnd"/>
      <w:r>
        <w:rPr>
          <w:rFonts w:ascii="Times New Roman" w:hAnsi="Times New Roman" w:cs="Times New Roman"/>
          <w:b/>
          <w:snapToGrid w:val="0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color w:val="0000FF"/>
        </w:rPr>
        <w:t>тем</w:t>
      </w:r>
      <w:proofErr w:type="spellEnd"/>
      <w:r>
        <w:rPr>
          <w:rFonts w:ascii="Times New Roman" w:hAnsi="Times New Roman" w:cs="Times New Roman"/>
          <w:b/>
          <w:snapToGrid w:val="0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color w:val="0000FF"/>
        </w:rPr>
        <w:t>курсовых</w:t>
      </w:r>
      <w:proofErr w:type="spellEnd"/>
      <w:r>
        <w:rPr>
          <w:rFonts w:ascii="Times New Roman" w:hAnsi="Times New Roman" w:cs="Times New Roman"/>
          <w:b/>
          <w:snapToGrid w:val="0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color w:val="0000FF"/>
        </w:rPr>
        <w:t>работ</w:t>
      </w:r>
      <w:proofErr w:type="spellEnd"/>
    </w:p>
    <w:p w:rsidR="0025426D" w:rsidRDefault="0025426D" w:rsidP="0025426D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FF"/>
        </w:rPr>
      </w:pPr>
    </w:p>
    <w:p w:rsidR="0025426D" w:rsidRDefault="0025426D" w:rsidP="0025426D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FF"/>
        </w:rPr>
      </w:pPr>
    </w:p>
    <w:tbl>
      <w:tblPr>
        <w:tblStyle w:val="a3"/>
        <w:tblW w:w="989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Формирование и усиление конкурентоспособности экономики региона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Анализ уровня жизни населения региона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  <w:lang w:eastAsia="ru-RU"/>
              </w:rPr>
              <w:tab/>
              <w:t xml:space="preserve"> Анализ качества жизни населения региона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Региональная дифференциация уровня жизни населения регионов РФ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  <w:r>
              <w:rPr>
                <w:sz w:val="24"/>
                <w:szCs w:val="24"/>
                <w:lang w:eastAsia="ru-RU"/>
              </w:rPr>
              <w:tab/>
              <w:t xml:space="preserve"> Внешнеэкономические связи региона: анализ, тенденции, особенности регулирования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  <w:r>
              <w:rPr>
                <w:sz w:val="24"/>
                <w:szCs w:val="24"/>
                <w:lang w:eastAsia="ru-RU"/>
              </w:rPr>
              <w:tab/>
              <w:t xml:space="preserve"> Исследование инвестиционной деятельности в регионе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8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 Иностранные инвестиции как элемент инвестирования социально-экономического развития региона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 Инвестиционная привлекательность региона: современное состояние и перспективы развития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  <w:r>
              <w:rPr>
                <w:sz w:val="24"/>
                <w:szCs w:val="24"/>
                <w:lang w:eastAsia="ru-RU"/>
              </w:rPr>
              <w:tab/>
              <w:t xml:space="preserve"> Анализ социально-экономического положения региона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 Экспортный потенциал региона: современное состояние и перспективы развития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 Молодежный рынок труда региона: современное состояние и перспективы развития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 Приоритетные направления региональной инновационной политики (вид политики по выбору студента)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 Безработица в регионе: современное состояние и пути снижения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 Региональные особенности развития автодорожной инфраструктуры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 Региональные особенности процесса автомобилизации населения</w:t>
            </w:r>
          </w:p>
        </w:tc>
      </w:tr>
      <w:tr w:rsid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 Региональные особенности демографических процессов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 Региональные налоги и сборы в структуре доходов бюджетов субъектов РФ</w:t>
            </w:r>
          </w:p>
        </w:tc>
      </w:tr>
      <w:tr w:rsid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 Региональная дифференциация доходов населения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 Приоритетные направления региональной молодежной политики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 Направления развития экологической деятельности в регионе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 Особенности и перспективы развития промышленности региона (вид промышленности по выбору студента)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 Современное состояние и развитие туризма в регионе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 Современное состояние и перспективы развития социальной инфраструктуры региона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 Тенденции развития малого предпринимательства в регионе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25. </w:t>
            </w:r>
            <w:proofErr w:type="spellStart"/>
            <w:r>
              <w:rPr>
                <w:sz w:val="24"/>
                <w:szCs w:val="24"/>
                <w:lang w:eastAsia="ru-RU"/>
              </w:rPr>
              <w:t>Технополисы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технопарки как фактор экономического развития региона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 Региональные особенности жилищной обеспеченности населения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 Приоритетные направления научно-технологической политики региона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 Региональный рынок труда: современное состояние и перспективы развития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 Региональный потребительский рынок: современное состояние и перспективы развития</w:t>
            </w:r>
          </w:p>
        </w:tc>
      </w:tr>
      <w:tr w:rsidR="0025426D" w:rsidRPr="0025426D" w:rsidTr="0025426D">
        <w:tc>
          <w:tcPr>
            <w:tcW w:w="9895" w:type="dxa"/>
            <w:hideMark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 Региональный рынок жилья: современное состояние и перспективы развития</w:t>
            </w:r>
          </w:p>
        </w:tc>
      </w:tr>
      <w:tr w:rsidR="0025426D" w:rsidRPr="0025426D" w:rsidTr="0025426D">
        <w:tc>
          <w:tcPr>
            <w:tcW w:w="9895" w:type="dxa"/>
          </w:tcPr>
          <w:p w:rsidR="0025426D" w:rsidRDefault="0025426D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5426D" w:rsidRDefault="0025426D">
      <w:pPr>
        <w:rPr>
          <w:lang w:val="ru-RU"/>
        </w:rPr>
      </w:pPr>
    </w:p>
    <w:p w:rsidR="0025426D" w:rsidRPr="0025426D" w:rsidRDefault="0025426D">
      <w:pPr>
        <w:rPr>
          <w:lang w:val="ru-RU"/>
        </w:rPr>
      </w:pPr>
    </w:p>
    <w:sectPr w:rsidR="0025426D" w:rsidRPr="0025426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44EB"/>
    <w:rsid w:val="001F0BC7"/>
    <w:rsid w:val="0025426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2021-2022_38_03_04-ГМУ-2021_очное_plx_Региональная экономика</dc:title>
  <dc:creator>FastReport.NET</dc:creator>
  <cp:lastModifiedBy>Owner</cp:lastModifiedBy>
  <cp:revision>3</cp:revision>
  <dcterms:created xsi:type="dcterms:W3CDTF">2021-09-01T16:45:00Z</dcterms:created>
  <dcterms:modified xsi:type="dcterms:W3CDTF">2021-09-01T16:46:00Z</dcterms:modified>
</cp:coreProperties>
</file>