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89155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9155D" w:rsidRDefault="0089155D"/>
        </w:tc>
      </w:tr>
      <w:tr w:rsidR="0089155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9155D" w:rsidRDefault="0089155D"/>
        </w:tc>
      </w:tr>
      <w:tr w:rsidR="0089155D">
        <w:trPr>
          <w:trHeight w:hRule="exact" w:val="212"/>
        </w:trPr>
        <w:tc>
          <w:tcPr>
            <w:tcW w:w="1521" w:type="dxa"/>
          </w:tcPr>
          <w:p w:rsidR="0089155D" w:rsidRDefault="0089155D"/>
        </w:tc>
        <w:tc>
          <w:tcPr>
            <w:tcW w:w="1600" w:type="dxa"/>
          </w:tcPr>
          <w:p w:rsidR="0089155D" w:rsidRDefault="0089155D"/>
        </w:tc>
        <w:tc>
          <w:tcPr>
            <w:tcW w:w="7089" w:type="dxa"/>
          </w:tcPr>
          <w:p w:rsidR="0089155D" w:rsidRDefault="0089155D"/>
        </w:tc>
        <w:tc>
          <w:tcPr>
            <w:tcW w:w="426" w:type="dxa"/>
          </w:tcPr>
          <w:p w:rsidR="0089155D" w:rsidRDefault="0089155D"/>
        </w:tc>
      </w:tr>
      <w:tr w:rsidR="008915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брокеридж</w:t>
            </w:r>
            <w:proofErr w:type="spellEnd"/>
            <w:r>
              <w:t xml:space="preserve"> </w:t>
            </w:r>
          </w:p>
        </w:tc>
      </w:tr>
      <w:tr w:rsidR="008915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915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8915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9155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55D" w:rsidRPr="00554D36" w:rsidRDefault="00927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="00554D36">
              <w:rPr>
                <w:lang w:val="ru-RU"/>
              </w:rPr>
              <w:t xml:space="preserve">, </w:t>
            </w:r>
            <w:r w:rsidR="00554D36" w:rsidRPr="00554D36">
              <w:rPr>
                <w:rFonts w:ascii="Times New Roman" w:hAnsi="Times New Roman" w:cs="Times New Roman"/>
                <w:sz w:val="24"/>
                <w:lang w:val="ru-RU"/>
              </w:rPr>
              <w:t>экзамен, курсовая работа</w:t>
            </w:r>
            <w:bookmarkStart w:id="0" w:name="_GoBack"/>
            <w:bookmarkEnd w:id="0"/>
          </w:p>
        </w:tc>
      </w:tr>
      <w:tr w:rsidR="0089155D" w:rsidRPr="00554D3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927467">
              <w:rPr>
                <w:lang w:val="ru-RU"/>
              </w:rPr>
              <w:t xml:space="preserve"> </w:t>
            </w:r>
          </w:p>
        </w:tc>
      </w:tr>
      <w:tr w:rsidR="008915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9155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конъюнктуры рынка кредитных продуктов</w:t>
            </w:r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сторон по сделке кредитования</w:t>
            </w:r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 по оформлению сделок кредитования</w:t>
            </w:r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проверка финансового положения заемщика</w:t>
            </w:r>
          </w:p>
        </w:tc>
      </w:tr>
      <w:tr w:rsidR="0089155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заемщика</w:t>
            </w:r>
            <w:proofErr w:type="spellEnd"/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сопровождение заемщика на этапе возникновения задолженности</w:t>
            </w:r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бизнес-процессов по кредитному брокериджу</w:t>
            </w:r>
          </w:p>
        </w:tc>
      </w:tr>
      <w:tr w:rsidR="0089155D" w:rsidRPr="00554D3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организационной структуры по обеспечению кредитного брокериджа</w:t>
            </w:r>
          </w:p>
        </w:tc>
      </w:tr>
      <w:tr w:rsidR="0089155D" w:rsidRPr="00554D3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аппаратно-информационного обеспечения деятельности кредитных брокеров</w:t>
            </w:r>
          </w:p>
        </w:tc>
      </w:tr>
      <w:tr w:rsidR="0089155D" w:rsidRPr="00554D36">
        <w:trPr>
          <w:trHeight w:hRule="exact" w:val="295"/>
        </w:trPr>
        <w:tc>
          <w:tcPr>
            <w:tcW w:w="1521" w:type="dxa"/>
          </w:tcPr>
          <w:p w:rsidR="0089155D" w:rsidRPr="00927467" w:rsidRDefault="0089155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9155D" w:rsidRPr="00927467" w:rsidRDefault="0089155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9155D" w:rsidRPr="00927467" w:rsidRDefault="008915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155D" w:rsidRPr="00927467" w:rsidRDefault="0089155D">
            <w:pPr>
              <w:rPr>
                <w:lang w:val="ru-RU"/>
              </w:rPr>
            </w:pPr>
          </w:p>
        </w:tc>
      </w:tr>
      <w:tr w:rsidR="008915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Default="009274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9155D">
        <w:trPr>
          <w:trHeight w:hRule="exact" w:val="196"/>
        </w:trPr>
        <w:tc>
          <w:tcPr>
            <w:tcW w:w="1521" w:type="dxa"/>
          </w:tcPr>
          <w:p w:rsidR="0089155D" w:rsidRDefault="0089155D"/>
        </w:tc>
        <w:tc>
          <w:tcPr>
            <w:tcW w:w="1600" w:type="dxa"/>
          </w:tcPr>
          <w:p w:rsidR="0089155D" w:rsidRDefault="0089155D"/>
        </w:tc>
        <w:tc>
          <w:tcPr>
            <w:tcW w:w="7089" w:type="dxa"/>
          </w:tcPr>
          <w:p w:rsidR="0089155D" w:rsidRDefault="0089155D"/>
        </w:tc>
        <w:tc>
          <w:tcPr>
            <w:tcW w:w="426" w:type="dxa"/>
          </w:tcPr>
          <w:p w:rsidR="0089155D" w:rsidRDefault="0089155D"/>
        </w:tc>
      </w:tr>
      <w:tr w:rsidR="0089155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155D" w:rsidRPr="00554D3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Мотышина М. С., Большаков А. С., Михайлов В. И. Менеджмент в социально-культурном сервисе и туризме. [Электронный ресурс]:учебник для академического бакалавриата. - Москва: Юрайт, 2019. - 282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/430028</w:t>
            </w:r>
          </w:p>
        </w:tc>
      </w:tr>
      <w:tr w:rsidR="0089155D" w:rsidRPr="00554D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Бухгалтерский финансовый учет. Учебник для бакалавриата и специалитета : для студентов вузов, обучающихся по экономическим направлениям : [в 2 частях]. Ч. 2. [Электронный ресурс]:. - Москва: Юрайт, 2019.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/442375</w:t>
            </w:r>
          </w:p>
        </w:tc>
      </w:tr>
      <w:tr w:rsidR="0089155D" w:rsidRPr="00554D3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Попова Н. Ф. Административно-правовое регулирование финансово-экономической деятельности. [Электронный ресурс</w:t>
            </w:r>
            <w:proofErr w:type="gramStart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- 183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/450816</w:t>
            </w:r>
          </w:p>
        </w:tc>
      </w:tr>
      <w:tr w:rsidR="0089155D" w:rsidRPr="00554D3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Девятова Т. Ю., Власова И. Е., Маслова Л. И. Учет в кредитных организациях. [Электронный ресурс</w:t>
            </w:r>
            <w:proofErr w:type="gramStart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и практикум : для обучающихся в вузах по направлениям подготовки УГСН 38.00.00 "Экономика и управление". - Екатеринбург: Ажур, 2020.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493021.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9155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155D" w:rsidRPr="00554D3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Казакова Н. А., Хлевная Е. А., Ангеловская А. А. Финансовый контроллинг в холдингах. [Электронный ресурс</w:t>
            </w:r>
            <w:proofErr w:type="gramStart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2018.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/942813</w:t>
            </w:r>
          </w:p>
        </w:tc>
      </w:tr>
    </w:tbl>
    <w:p w:rsidR="0089155D" w:rsidRPr="00927467" w:rsidRDefault="00927467">
      <w:pPr>
        <w:rPr>
          <w:sz w:val="0"/>
          <w:szCs w:val="0"/>
          <w:lang w:val="ru-RU"/>
        </w:rPr>
      </w:pPr>
      <w:r w:rsidRPr="009274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9155D" w:rsidRPr="00554D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Аронов А.В., Кашин В. А. Налоговая политика и налоговое администрирование. [Электронный ресурс</w:t>
            </w:r>
            <w:proofErr w:type="gramStart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Магистр: ИНФРА-М, 2019. - 544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/1002046</w:t>
            </w:r>
          </w:p>
        </w:tc>
      </w:tr>
      <w:tr w:rsidR="0089155D" w:rsidRPr="00554D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Суглобов А.Е., Воронцова А.И. Методическое обеспечение аудита организаций в условиях несостоятельности (банкротства). [Электронный ресурс</w:t>
            </w:r>
            <w:proofErr w:type="gramStart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/1040294</w:t>
            </w:r>
          </w:p>
        </w:tc>
      </w:tr>
      <w:tr w:rsidR="0089155D" w:rsidRPr="00554D36">
        <w:trPr>
          <w:trHeight w:hRule="exact" w:val="277"/>
        </w:trPr>
        <w:tc>
          <w:tcPr>
            <w:tcW w:w="10774" w:type="dxa"/>
          </w:tcPr>
          <w:p w:rsidR="0089155D" w:rsidRPr="00927467" w:rsidRDefault="0089155D">
            <w:pPr>
              <w:rPr>
                <w:lang w:val="ru-RU"/>
              </w:rPr>
            </w:pPr>
          </w:p>
        </w:tc>
      </w:tr>
      <w:tr w:rsidR="0089155D" w:rsidRPr="00554D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7467">
              <w:rPr>
                <w:lang w:val="ru-RU"/>
              </w:rPr>
              <w:t xml:space="preserve"> </w:t>
            </w:r>
          </w:p>
        </w:tc>
      </w:tr>
      <w:tr w:rsidR="0089155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9155D">
        <w:trPr>
          <w:trHeight w:hRule="exact" w:val="277"/>
        </w:trPr>
        <w:tc>
          <w:tcPr>
            <w:tcW w:w="10774" w:type="dxa"/>
          </w:tcPr>
          <w:p w:rsidR="0089155D" w:rsidRDefault="0089155D"/>
        </w:tc>
      </w:tr>
      <w:tr w:rsidR="00891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74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4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274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9155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74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74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74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74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9155D" w:rsidRPr="00554D3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Pr="00927467" w:rsidRDefault="009274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9155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74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155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4D36">
              <w:rPr>
                <w:lang w:val="ru-RU"/>
              </w:rPr>
              <w:t xml:space="preserve"> </w:t>
            </w:r>
            <w:r w:rsidRPr="00554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4D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9155D" w:rsidRDefault="009274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9155D" w:rsidRPr="00554D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155D" w:rsidRPr="00927467" w:rsidRDefault="009274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Луговцов</w:t>
            </w:r>
            <w:r w:rsidRPr="00927467">
              <w:rPr>
                <w:lang w:val="ru-RU"/>
              </w:rPr>
              <w:t xml:space="preserve"> </w:t>
            </w:r>
            <w:r w:rsidRPr="009274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Р.Ю.</w:t>
            </w:r>
            <w:r w:rsidRPr="00927467">
              <w:rPr>
                <w:lang w:val="ru-RU"/>
              </w:rPr>
              <w:t xml:space="preserve"> </w:t>
            </w:r>
          </w:p>
        </w:tc>
      </w:tr>
    </w:tbl>
    <w:p w:rsidR="0089155D" w:rsidRDefault="0089155D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>
      <w:pPr>
        <w:rPr>
          <w:lang w:val="ru-RU"/>
        </w:rPr>
      </w:pPr>
    </w:p>
    <w:p w:rsidR="00554D36" w:rsidRDefault="00554D36" w:rsidP="00554D36">
      <w:pPr>
        <w:pStyle w:val="3"/>
        <w:spacing w:before="0" w:line="240" w:lineRule="auto"/>
        <w:contextualSpacing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iCs/>
          <w:color w:val="auto"/>
          <w:sz w:val="28"/>
          <w:szCs w:val="28"/>
        </w:rPr>
        <w:t>РЕКОМЕНДУЕМАЯ ТЕМАТИКА КУРСОВЫХ РАБОТ</w:t>
      </w:r>
    </w:p>
    <w:p w:rsidR="00554D36" w:rsidRDefault="00554D36" w:rsidP="00554D3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54D36" w:rsidRDefault="00554D36" w:rsidP="00554D3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54D36" w:rsidRDefault="00554D36" w:rsidP="00554D3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Кредитный </w:t>
      </w:r>
      <w:proofErr w:type="spellStart"/>
      <w:r>
        <w:rPr>
          <w:sz w:val="28"/>
          <w:szCs w:val="28"/>
        </w:rPr>
        <w:t>брокеридж</w:t>
      </w:r>
      <w:proofErr w:type="spellEnd"/>
      <w:r>
        <w:rPr>
          <w:sz w:val="28"/>
          <w:szCs w:val="28"/>
        </w:rPr>
        <w:t xml:space="preserve"> как особый вид финансового консультирования.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Современные тенденции формирования бизнес-модели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>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Бизнес-модель кредитного брокера в РФ и его роль в области кредитования предприятий малого и среднего бизнеса.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Роль кредитного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брокериджа</w:t>
      </w:r>
      <w:proofErr w:type="spellEnd"/>
      <w:r>
        <w:rPr>
          <w:color w:val="333333"/>
          <w:sz w:val="28"/>
          <w:szCs w:val="28"/>
          <w:shd w:val="clear" w:color="auto" w:fill="FFFFFF"/>
        </w:rPr>
        <w:t> на современном этапе развития рынка банковских продуктов и услуг</w:t>
      </w:r>
      <w:r>
        <w:rPr>
          <w:sz w:val="28"/>
          <w:szCs w:val="28"/>
        </w:rPr>
        <w:t>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 xml:space="preserve"> в сфере кредитования юридических лиц.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 xml:space="preserve"> в сфере кредитования физических лиц.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банковских кредитных продуктов и их роль в развитии кредитного </w:t>
      </w:r>
      <w:proofErr w:type="spellStart"/>
      <w:r>
        <w:rPr>
          <w:sz w:val="28"/>
          <w:szCs w:val="28"/>
        </w:rPr>
        <w:t>брокериджа</w:t>
      </w:r>
      <w:proofErr w:type="spellEnd"/>
      <w:r>
        <w:rPr>
          <w:sz w:val="28"/>
          <w:szCs w:val="28"/>
        </w:rPr>
        <w:t>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банка кредитора и разработка стратегии кредитования для юридического лица.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 банка кредитора и разработка стратегии кредитования для физического лица.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Роль кредитного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брокериджа</w:t>
      </w:r>
      <w:proofErr w:type="spellEnd"/>
      <w:r>
        <w:rPr>
          <w:color w:val="333333"/>
          <w:sz w:val="28"/>
          <w:szCs w:val="28"/>
          <w:shd w:val="clear" w:color="auto" w:fill="FFFFFF"/>
        </w:rPr>
        <w:t> при к</w:t>
      </w:r>
      <w:r>
        <w:rPr>
          <w:color w:val="000000"/>
          <w:sz w:val="28"/>
          <w:szCs w:val="28"/>
        </w:rPr>
        <w:t xml:space="preserve">редитовании запуска бизнес-проектов. 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Коммерческая ипотека: особенности предоставления и анализ рисков.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Особенности оказания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факторинговых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услуг и анализ рисков.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Особенности формирования лизинговых отношений и анализ рисков.</w:t>
      </w:r>
    </w:p>
    <w:p w:rsidR="00554D36" w:rsidRDefault="00554D36" w:rsidP="00554D36">
      <w:pPr>
        <w:pStyle w:val="1"/>
        <w:numPr>
          <w:ilvl w:val="0"/>
          <w:numId w:val="1"/>
        </w:numPr>
        <w:tabs>
          <w:tab w:val="left" w:pos="284"/>
        </w:tabs>
        <w:spacing w:before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Формирование новых кредитных продуктов на основе информационной базы кредитного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брокериджа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Сущность и роль кредитного </w:t>
      </w:r>
      <w:proofErr w:type="spellStart"/>
      <w:r>
        <w:rPr>
          <w:color w:val="333333"/>
          <w:sz w:val="28"/>
          <w:szCs w:val="28"/>
        </w:rPr>
        <w:t>брокериджа</w:t>
      </w:r>
      <w:proofErr w:type="spellEnd"/>
      <w:r>
        <w:rPr>
          <w:color w:val="333333"/>
          <w:sz w:val="28"/>
          <w:szCs w:val="28"/>
        </w:rPr>
        <w:t xml:space="preserve"> на современном этапе развития банковской системы.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Современное состояние кредитной системы России и расширение рынка кредитных продуктов в рамках сферы деятельности кредитного брокера.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Значение розничных кредитных продуктов в условиях отечественной конкуренции банковского сектора.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Кредитный </w:t>
      </w:r>
      <w:proofErr w:type="spellStart"/>
      <w:r>
        <w:rPr>
          <w:color w:val="333333"/>
          <w:sz w:val="28"/>
          <w:szCs w:val="28"/>
        </w:rPr>
        <w:t>брокеридж</w:t>
      </w:r>
      <w:proofErr w:type="spellEnd"/>
      <w:r>
        <w:rPr>
          <w:color w:val="333333"/>
          <w:sz w:val="28"/>
          <w:szCs w:val="28"/>
        </w:rPr>
        <w:t xml:space="preserve"> как основа совершенствования спектра кредитных продуктов и услуг.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Организационно-методическое и информационное обеспечение кредитного </w:t>
      </w:r>
      <w:proofErr w:type="spellStart"/>
      <w:r>
        <w:rPr>
          <w:color w:val="333333"/>
          <w:sz w:val="28"/>
          <w:szCs w:val="28"/>
        </w:rPr>
        <w:t>брокериджа</w:t>
      </w:r>
      <w:proofErr w:type="spellEnd"/>
      <w:r>
        <w:rPr>
          <w:color w:val="333333"/>
          <w:sz w:val="28"/>
          <w:szCs w:val="28"/>
        </w:rPr>
        <w:t xml:space="preserve"> в современном банковском законодательстве.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Ключевые характеристики информационной клиентской базы кредитного </w:t>
      </w:r>
      <w:proofErr w:type="spellStart"/>
      <w:r>
        <w:rPr>
          <w:color w:val="333333"/>
          <w:sz w:val="28"/>
          <w:szCs w:val="28"/>
        </w:rPr>
        <w:t>брокериджа</w:t>
      </w:r>
      <w:proofErr w:type="spellEnd"/>
      <w:r>
        <w:rPr>
          <w:color w:val="333333"/>
          <w:sz w:val="28"/>
          <w:szCs w:val="28"/>
        </w:rPr>
        <w:t>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Механизмы расширения спектра банковских продуктов с участием кредитных брокеров.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тенденции развития розничных кредитных продуктов с участием кредитных брокеров.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тенденции развития корпоративных кредитных продуктов с участием кредитных брокеров.</w:t>
      </w:r>
    </w:p>
    <w:p w:rsidR="00554D36" w:rsidRDefault="00554D36" w:rsidP="00554D3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</w:tabs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Основные тенденции развития кредитных продуктов для малого и среднего предпринимательства с участием кредитных брокеров.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условия работы кредитных брокеров в сегменте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Рынок кредитных брокерских услуг в России: особенности функционирования, проблемы и направления развития.</w:t>
      </w:r>
    </w:p>
    <w:p w:rsidR="00554D36" w:rsidRDefault="00554D36" w:rsidP="00554D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условия работы кредитных брокеров и потребителей.</w:t>
      </w:r>
    </w:p>
    <w:p w:rsidR="00554D36" w:rsidRPr="00927467" w:rsidRDefault="00554D36">
      <w:pPr>
        <w:rPr>
          <w:lang w:val="ru-RU"/>
        </w:rPr>
      </w:pPr>
    </w:p>
    <w:sectPr w:rsidR="00554D36" w:rsidRPr="009274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EC4"/>
    <w:multiLevelType w:val="hybridMultilevel"/>
    <w:tmpl w:val="E91C53A2"/>
    <w:name w:val="Нумерованный список 10"/>
    <w:lvl w:ilvl="0" w:tplc="07885BC8">
      <w:start w:val="1"/>
      <w:numFmt w:val="decimal"/>
      <w:lvlText w:val="%1."/>
      <w:lvlJc w:val="left"/>
      <w:pPr>
        <w:ind w:left="360" w:firstLine="0"/>
      </w:pPr>
    </w:lvl>
    <w:lvl w:ilvl="1" w:tplc="7A381AF0">
      <w:start w:val="1"/>
      <w:numFmt w:val="lowerLetter"/>
      <w:lvlText w:val="%2."/>
      <w:lvlJc w:val="left"/>
      <w:pPr>
        <w:ind w:left="1080" w:firstLine="0"/>
      </w:pPr>
    </w:lvl>
    <w:lvl w:ilvl="2" w:tplc="DFAA0A6E">
      <w:start w:val="1"/>
      <w:numFmt w:val="lowerRoman"/>
      <w:lvlText w:val="%3."/>
      <w:lvlJc w:val="left"/>
      <w:pPr>
        <w:ind w:left="1980" w:firstLine="0"/>
      </w:pPr>
    </w:lvl>
    <w:lvl w:ilvl="3" w:tplc="9C481A22">
      <w:start w:val="1"/>
      <w:numFmt w:val="decimal"/>
      <w:lvlText w:val="%4."/>
      <w:lvlJc w:val="left"/>
      <w:pPr>
        <w:ind w:left="2520" w:firstLine="0"/>
      </w:pPr>
    </w:lvl>
    <w:lvl w:ilvl="4" w:tplc="104486EA">
      <w:start w:val="1"/>
      <w:numFmt w:val="lowerLetter"/>
      <w:lvlText w:val="%5."/>
      <w:lvlJc w:val="left"/>
      <w:pPr>
        <w:ind w:left="3240" w:firstLine="0"/>
      </w:pPr>
    </w:lvl>
    <w:lvl w:ilvl="5" w:tplc="31EA285E">
      <w:start w:val="1"/>
      <w:numFmt w:val="lowerRoman"/>
      <w:lvlText w:val="%6."/>
      <w:lvlJc w:val="left"/>
      <w:pPr>
        <w:ind w:left="4140" w:firstLine="0"/>
      </w:pPr>
    </w:lvl>
    <w:lvl w:ilvl="6" w:tplc="E6504D36">
      <w:start w:val="1"/>
      <w:numFmt w:val="decimal"/>
      <w:lvlText w:val="%7."/>
      <w:lvlJc w:val="left"/>
      <w:pPr>
        <w:ind w:left="4680" w:firstLine="0"/>
      </w:pPr>
    </w:lvl>
    <w:lvl w:ilvl="7" w:tplc="A3A21072">
      <w:start w:val="1"/>
      <w:numFmt w:val="lowerLetter"/>
      <w:lvlText w:val="%8."/>
      <w:lvlJc w:val="left"/>
      <w:pPr>
        <w:ind w:left="5400" w:firstLine="0"/>
      </w:pPr>
    </w:lvl>
    <w:lvl w:ilvl="8" w:tplc="3038412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54D36"/>
    <w:rsid w:val="0089155D"/>
    <w:rsid w:val="009274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27846-CD8D-42D6-88D6-A8B006A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D36"/>
    <w:pPr>
      <w:keepNext/>
      <w:keepLines/>
      <w:spacing w:before="240" w:after="0"/>
      <w:outlineLvl w:val="0"/>
    </w:pPr>
    <w:rPr>
      <w:rFonts w:ascii="Cambria" w:eastAsia="Cambria" w:hAnsi="Cambria" w:cs="Times New Roman"/>
      <w:color w:val="365F91"/>
      <w:sz w:val="32"/>
      <w:szCs w:val="32"/>
      <w:lang w:val="ru-RU" w:eastAsia="zh-CN"/>
    </w:rPr>
  </w:style>
  <w:style w:type="paragraph" w:styleId="3">
    <w:name w:val="heading 3"/>
    <w:basedOn w:val="a"/>
    <w:next w:val="a"/>
    <w:link w:val="30"/>
    <w:qFormat/>
    <w:rsid w:val="00554D36"/>
    <w:pPr>
      <w:keepNext/>
      <w:keepLines/>
      <w:spacing w:before="40" w:after="0"/>
      <w:outlineLvl w:val="2"/>
    </w:pPr>
    <w:rPr>
      <w:rFonts w:ascii="Cambria" w:eastAsia="Cambria" w:hAnsi="Cambria" w:cs="Times New Roman"/>
      <w:color w:val="243F60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D36"/>
    <w:rPr>
      <w:rFonts w:ascii="Cambria" w:eastAsia="Cambria" w:hAnsi="Cambria" w:cs="Times New Roman"/>
      <w:color w:val="365F91"/>
      <w:sz w:val="32"/>
      <w:szCs w:val="32"/>
      <w:lang w:val="ru-RU" w:eastAsia="zh-CN"/>
    </w:rPr>
  </w:style>
  <w:style w:type="character" w:customStyle="1" w:styleId="30">
    <w:name w:val="Заголовок 3 Знак"/>
    <w:basedOn w:val="a0"/>
    <w:link w:val="3"/>
    <w:rsid w:val="00554D36"/>
    <w:rPr>
      <w:rFonts w:ascii="Cambria" w:eastAsia="Cambria" w:hAnsi="Cambria" w:cs="Times New Roman"/>
      <w:color w:val="243F60"/>
      <w:sz w:val="24"/>
      <w:szCs w:val="24"/>
      <w:lang w:val="ru-RU" w:eastAsia="zh-CN"/>
    </w:rPr>
  </w:style>
  <w:style w:type="paragraph" w:styleId="a3">
    <w:name w:val="List Paragraph"/>
    <w:basedOn w:val="a"/>
    <w:qFormat/>
    <w:rsid w:val="00554D3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4">
    <w:name w:val="Normal (Web)"/>
    <w:basedOn w:val="a"/>
    <w:qFormat/>
    <w:rsid w:val="0055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2021-2022_38_03_01-ФиК-2021_очное_plx_Кредитный брокеридж</vt:lpstr>
      <vt:lpstr>Лист1</vt:lpstr>
    </vt:vector>
  </TitlesOfParts>
  <Company>УрГЭУ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2021-2022_38_03_01-ФиК-2021_очное_plx_Кредитный брокеридж</dc:title>
  <dc:creator>FastReport.NET</dc:creator>
  <cp:lastModifiedBy>Ивлиева Елена Анатольевна</cp:lastModifiedBy>
  <cp:revision>3</cp:revision>
  <dcterms:created xsi:type="dcterms:W3CDTF">2021-09-02T05:42:00Z</dcterms:created>
  <dcterms:modified xsi:type="dcterms:W3CDTF">2021-09-02T06:00:00Z</dcterms:modified>
</cp:coreProperties>
</file>