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08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0861" w:rsidRDefault="00230861"/>
        </w:tc>
      </w:tr>
      <w:tr w:rsidR="002308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0861" w:rsidRDefault="00230861"/>
        </w:tc>
      </w:tr>
      <w:tr w:rsidR="00230861">
        <w:trPr>
          <w:trHeight w:hRule="exact" w:val="490"/>
        </w:trPr>
        <w:tc>
          <w:tcPr>
            <w:tcW w:w="1521" w:type="dxa"/>
          </w:tcPr>
          <w:p w:rsidR="00230861" w:rsidRDefault="00230861"/>
        </w:tc>
        <w:tc>
          <w:tcPr>
            <w:tcW w:w="1600" w:type="dxa"/>
          </w:tcPr>
          <w:p w:rsidR="00230861" w:rsidRDefault="00230861"/>
        </w:tc>
        <w:tc>
          <w:tcPr>
            <w:tcW w:w="7089" w:type="dxa"/>
          </w:tcPr>
          <w:p w:rsidR="00230861" w:rsidRDefault="00230861"/>
        </w:tc>
        <w:tc>
          <w:tcPr>
            <w:tcW w:w="426" w:type="dxa"/>
          </w:tcPr>
          <w:p w:rsidR="00230861" w:rsidRDefault="00230861"/>
        </w:tc>
      </w:tr>
      <w:tr w:rsidR="00230861" w:rsidRPr="00F461B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30861">
        <w:trPr>
          <w:trHeight w:hRule="exact" w:val="562"/>
        </w:trPr>
        <w:tc>
          <w:tcPr>
            <w:tcW w:w="1521" w:type="dxa"/>
          </w:tcPr>
          <w:p w:rsidR="00230861" w:rsidRDefault="00230861"/>
        </w:tc>
        <w:tc>
          <w:tcPr>
            <w:tcW w:w="1600" w:type="dxa"/>
          </w:tcPr>
          <w:p w:rsidR="00230861" w:rsidRDefault="0023086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308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08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разделение труда как основа внешней торговли, структура мировой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 и мировых рынков</w:t>
            </w:r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причины международной торговли. Взаимодействие спроса и предложения во внешней торговле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и инструменты торговой политики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механизм действия основных барьеров на пути международной торговли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 тариф как классический инструмент реализации государственной торговой политики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Нетарифные инструменты реализации торговой политики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в международной торговле и их документарное сопровождение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государственной поддержки и продвижения экспорта</w:t>
            </w:r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proofErr w:type="spellEnd"/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внешнеторговых сделок</w:t>
            </w:r>
          </w:p>
        </w:tc>
      </w:tr>
      <w:tr w:rsidR="002308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экономической конъюнктуры и особенности изучения конъюнктуры мировых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 рынков</w:t>
            </w:r>
          </w:p>
        </w:tc>
      </w:tr>
      <w:tr w:rsidR="00230861" w:rsidRPr="00F461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Циклические факторы формирования мировой конъюнктуры и анализ общехозяйственной конъюнктуры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Нециклические факторы формирования внешнеторговой конъюнктуры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и тенденции развития международной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России на мировых товарных рынках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конъюнктуры мировых товарных рынков на экспорт и экономику РФ</w:t>
            </w:r>
          </w:p>
        </w:tc>
      </w:tr>
    </w:tbl>
    <w:p w:rsidR="00230861" w:rsidRPr="00F461BB" w:rsidRDefault="00F461BB">
      <w:pPr>
        <w:rPr>
          <w:sz w:val="0"/>
          <w:szCs w:val="0"/>
          <w:lang w:val="ru-RU"/>
        </w:rPr>
      </w:pPr>
      <w:r w:rsidRPr="00F461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цены как база цен внешнеторговых контрактов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Демпинговые цены и биржевая конъюнктура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 конъюнктуры мирового рынка нефти</w:t>
            </w:r>
          </w:p>
        </w:tc>
      </w:tr>
      <w:tr w:rsidR="00230861" w:rsidRPr="00F461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вторичной информации и методы прогнозирования конъюнктуры рынка</w:t>
            </w:r>
          </w:p>
        </w:tc>
      </w:tr>
      <w:tr w:rsidR="0023086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Default="00F461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0861">
        <w:trPr>
          <w:trHeight w:hRule="exact" w:val="196"/>
        </w:trPr>
        <w:tc>
          <w:tcPr>
            <w:tcW w:w="1521" w:type="dxa"/>
          </w:tcPr>
          <w:p w:rsidR="00230861" w:rsidRDefault="00230861"/>
        </w:tc>
        <w:tc>
          <w:tcPr>
            <w:tcW w:w="9169" w:type="dxa"/>
          </w:tcPr>
          <w:p w:rsidR="00230861" w:rsidRDefault="00230861"/>
        </w:tc>
      </w:tr>
      <w:tr w:rsidR="0023086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861" w:rsidRPr="00F461BB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Международная торговля товарами и услугами. Учебник и практикум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магистратуры :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1.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/438809</w:t>
            </w:r>
          </w:p>
        </w:tc>
      </w:tr>
      <w:tr w:rsidR="00230861" w:rsidRPr="00F461B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Международная торговля товарами и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услугами. Учебник и практикум для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магистратуры :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2.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/438810</w:t>
            </w:r>
          </w:p>
        </w:tc>
      </w:tr>
      <w:tr w:rsidR="00230861" w:rsidRPr="00F461B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Рудн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 А. О. Международная торговля.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"Экономика" (квалификация (степень) "бакалавр"). - Москва: ИНФРА-М, 2018.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/950827</w:t>
            </w:r>
          </w:p>
        </w:tc>
      </w:tr>
      <w:tr w:rsidR="00230861" w:rsidRPr="00F461B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Дубин А. К., Лобачев В. В., Денисенко М. А. Внешнеэкономическая деятельность предприятия.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учебное пособие по направлению подготовки 38.03.02 «Менеджмент». - Москва: ИНФРА-М, 2019. -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/995937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Ломакин В.К. Мировая экономика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 и направлениям. - Москва: Издательство "ЮНИТИ -ДАНА", 2019. -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/1028799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Смитиенко Б.М., Лукьянович Н.В. Мировая экономика и международные экономические отношения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 М", 2021. - 370 – Р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/1167878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Хохлов А. В. Мировые товарные рынки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2018.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/959993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Кузнецова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В. Конъюнктура мировых товарных рынков.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/456080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Капустина Л. М.,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Древалев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Менеджер в международной торговле [Электронный ре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2018.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3086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861" w:rsidRPr="00F461B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Могзоев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 Мировая экономика и международные экономические отношения.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/541968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Колодко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 Куда идет мир: политическая экономия будущего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Издательство "Магистр",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/910416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Смитиенко Б.М., Лукьянович Н.В. Мировая экономика и международные экономические отношения.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2019.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- 370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/987747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Торговая политика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/1010025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Мировая экономика и международные экономические отношения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/1052245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Клинов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Прогнозирование долгоср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очных тенденций в развитии мирового хозяйства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/1001512</w:t>
            </w:r>
          </w:p>
        </w:tc>
      </w:tr>
    </w:tbl>
    <w:p w:rsidR="00230861" w:rsidRPr="00F461BB" w:rsidRDefault="00F461BB">
      <w:pPr>
        <w:rPr>
          <w:sz w:val="0"/>
          <w:szCs w:val="0"/>
          <w:lang w:val="ru-RU"/>
        </w:rPr>
      </w:pPr>
      <w:r w:rsidRPr="00F461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0861" w:rsidRPr="00F461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Клинов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Актуальные проблемы исследования экономической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конъюнктуры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Издательство "Магистр", 2018.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/959995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Платонова И.Н. Международные экономические отношения России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Издательство "Магистр", 2018.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/939229</w:t>
            </w:r>
          </w:p>
        </w:tc>
      </w:tr>
      <w:tr w:rsidR="00230861" w:rsidRPr="00F461B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Платонова И. Н., Алёшин Д. А., Гурова И. П., Долгова М. В., Исаченко Т. М., Иванова Н. А., Козлова О. А.,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Коломейцева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Костюнина Г. М., Максакова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А., Пак Е. В.,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Пичков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Б., Ревенко Л. С., Савельев О. В., Сидоров А. А., Сидорова Е. А., Солдатенко Д. М., Сумин А. В. Международные экономические отношения в глобальной экономике. [Электронный ресурс</w:t>
            </w:r>
            <w:proofErr w:type="gram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- 528 с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/456254</w:t>
            </w:r>
          </w:p>
        </w:tc>
      </w:tr>
      <w:tr w:rsidR="00230861" w:rsidRPr="00F461BB">
        <w:trPr>
          <w:trHeight w:hRule="exact" w:val="277"/>
        </w:trPr>
        <w:tc>
          <w:tcPr>
            <w:tcW w:w="10774" w:type="dxa"/>
          </w:tcPr>
          <w:p w:rsidR="00230861" w:rsidRPr="00F461BB" w:rsidRDefault="00230861">
            <w:pPr>
              <w:rPr>
                <w:lang w:val="ru-RU"/>
              </w:rPr>
            </w:pP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0861">
        <w:trPr>
          <w:trHeight w:hRule="exact" w:val="277"/>
        </w:trPr>
        <w:tc>
          <w:tcPr>
            <w:tcW w:w="10774" w:type="dxa"/>
          </w:tcPr>
          <w:p w:rsidR="00230861" w:rsidRDefault="00230861"/>
        </w:tc>
      </w:tr>
      <w:tr w:rsidR="002308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308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61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0861" w:rsidRPr="00F461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461BB">
              <w:rPr>
                <w:lang w:val="ru-RU"/>
              </w:rPr>
              <w:t xml:space="preserve"> </w:t>
            </w:r>
          </w:p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F461BB">
              <w:rPr>
                <w:lang w:val="ru-RU"/>
              </w:rPr>
              <w:t xml:space="preserve"> </w:t>
            </w:r>
          </w:p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Конференция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ООН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торговле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развитию</w:t>
            </w:r>
            <w:r w:rsidRPr="00F461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(ЮНКТАД)</w:t>
            </w:r>
            <w:r>
              <w:t xml:space="preserve"> </w:t>
            </w:r>
          </w:p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https://unctad.org/</w:t>
            </w:r>
            <w: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вестник,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F461BB">
              <w:rPr>
                <w:lang w:val="ru-RU"/>
              </w:rPr>
              <w:t xml:space="preserve"> </w:t>
            </w:r>
          </w:p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rfej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Всемирного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Банка</w:t>
            </w:r>
            <w:r w:rsidRPr="00F461BB">
              <w:rPr>
                <w:lang w:val="ru-RU"/>
              </w:rPr>
              <w:t xml:space="preserve"> </w:t>
            </w:r>
          </w:p>
          <w:p w:rsidR="00230861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https://www.worldbank.org</w:t>
            </w:r>
            <w: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F461BB">
              <w:rPr>
                <w:lang w:val="ru-RU"/>
              </w:rPr>
              <w:t xml:space="preserve"> </w:t>
            </w:r>
          </w:p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таможенная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F461BB">
              <w:rPr>
                <w:lang w:val="ru-RU"/>
              </w:rPr>
              <w:t xml:space="preserve"> </w:t>
            </w:r>
          </w:p>
          <w:p w:rsidR="00230861" w:rsidRPr="00F461BB" w:rsidRDefault="00F461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230861" w:rsidRPr="00F461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861" w:rsidRPr="00F461BB" w:rsidRDefault="00F461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Л.М.</w:t>
            </w:r>
            <w:r w:rsidRPr="00F461BB">
              <w:rPr>
                <w:lang w:val="ru-RU"/>
              </w:rPr>
              <w:t xml:space="preserve"> </w:t>
            </w:r>
          </w:p>
        </w:tc>
      </w:tr>
    </w:tbl>
    <w:p w:rsidR="00F461BB" w:rsidRPr="00F461BB" w:rsidRDefault="00F461BB">
      <w:pPr>
        <w:rPr>
          <w:lang w:val="ru-RU"/>
        </w:rPr>
      </w:pPr>
    </w:p>
    <w:p w:rsidR="00F461BB" w:rsidRPr="00F461BB" w:rsidRDefault="00F461BB">
      <w:pPr>
        <w:rPr>
          <w:lang w:val="ru-RU"/>
        </w:rPr>
      </w:pPr>
      <w:r w:rsidRPr="00F461BB">
        <w:rPr>
          <w:lang w:val="ru-RU"/>
        </w:rPr>
        <w:br w:type="page"/>
      </w:r>
    </w:p>
    <w:p w:rsidR="00F461BB" w:rsidRDefault="00F461BB" w:rsidP="00F4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461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 w:rsidRPr="00F461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F461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F461BB" w:rsidRDefault="00F461BB" w:rsidP="00F4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797"/>
      </w:tblGrid>
      <w:tr w:rsidR="00F461BB" w:rsidRPr="00F461BB" w:rsidTr="00F461B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1BB" w:rsidRDefault="00F461BB" w:rsidP="003005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1BB" w:rsidRPr="00F461BB" w:rsidRDefault="00F461BB" w:rsidP="00300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конъюнктура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F461BB">
              <w:rPr>
                <w:lang w:val="ru-RU"/>
              </w:rPr>
              <w:t xml:space="preserve"> </w:t>
            </w:r>
            <w:r w:rsidRPr="00F461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F461BB">
              <w:rPr>
                <w:lang w:val="ru-RU"/>
              </w:rPr>
              <w:t xml:space="preserve"> </w:t>
            </w:r>
          </w:p>
        </w:tc>
      </w:tr>
      <w:tr w:rsidR="00F461BB" w:rsidTr="00F461B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1BB" w:rsidRDefault="00F461BB" w:rsidP="003005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1BB" w:rsidRDefault="00F461BB" w:rsidP="00300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F461BB" w:rsidTr="00F461B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1BB" w:rsidRDefault="00F461BB" w:rsidP="003005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1BB" w:rsidRDefault="00F461BB" w:rsidP="003005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</w:tbl>
    <w:p w:rsidR="00F461BB" w:rsidRPr="00F461BB" w:rsidRDefault="00F461BB" w:rsidP="00F4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F461BB" w:rsidRPr="00F461BB" w:rsidRDefault="00F461BB" w:rsidP="00F4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8902" w:type="dxa"/>
        <w:tblInd w:w="250" w:type="dxa"/>
        <w:tblLook w:val="04A0" w:firstRow="1" w:lastRow="0" w:firstColumn="1" w:lastColumn="0" w:noHBand="0" w:noVBand="1"/>
      </w:tblPr>
      <w:tblGrid>
        <w:gridCol w:w="8902"/>
      </w:tblGrid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Современные проблемы мировой экономики и международной торговли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Мировые экономические кризисы: природа, последствия, антикризисное управление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Развитие ресурсов мирового хозяйства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продовольственная безопасность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энергетическая безопасность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экологическая безопасность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Развитие отраслей мирового хозяйства: история, состояние и перспективы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Развитие мирового сельского хозяйства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Мировая нефтегазовая промышленность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Отрасли цветной металлургии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Транспорт как отрасль мирового хозяйства и международные транспортные системы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Внешнеторговая политика государств и ее влияние на мировые рынки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Механизмы поддержки и продвижения экспорта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Особые экономические зоны: зарубежный и российский опыт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Применение ограничений в международной торговле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Процесс глобализации: предпосылки, последствия, актуальные тенденции и проблемы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электронная торговля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Влияние цифровизации на международную торговлю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Приграничная и прибрежная торговля как особая форма международной торговли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Конкурентоспособность предприятий в мировом хозяйстве в современных условиях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Транснациональные корпорации в международных экономических отношениях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Международное разделение труда: новые формы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Сделки слияния и поглощения на мировом рынке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промышленная кооперация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Внешнеторговые риски: подходы к оценке и методы минимизации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 xml:space="preserve">Решение комплексных задач выхода на новые </w:t>
            </w:r>
            <w:proofErr w:type="spellStart"/>
            <w:r w:rsidRPr="00F461BB">
              <w:rPr>
                <w:sz w:val="24"/>
                <w:szCs w:val="24"/>
              </w:rPr>
              <w:t>страновые</w:t>
            </w:r>
            <w:proofErr w:type="spellEnd"/>
            <w:r w:rsidRPr="00F461BB">
              <w:rPr>
                <w:sz w:val="24"/>
                <w:szCs w:val="24"/>
              </w:rPr>
              <w:t xml:space="preserve"> рынки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Роль транснациональных корпораций в мировом научно-техническом прогрессе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Государственное регулирование деятельности ТНК, антимонопольная политика стран мира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экономическая интеграция: история, текущее состояние, проблемы и перспективы развития интеграционных объединений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Функционирование свободных экономических зон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Европейская экономическая интеграция: проблемы и перспективы</w:t>
            </w:r>
          </w:p>
        </w:tc>
      </w:tr>
      <w:tr w:rsidR="00F461BB" w:rsidRPr="00F461BB" w:rsidTr="00F461BB">
        <w:tc>
          <w:tcPr>
            <w:tcW w:w="8902" w:type="dxa"/>
            <w:tcBorders>
              <w:top w:val="nil"/>
            </w:tcBorders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Развитие Евразийского экономического союза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Оценка роли международных экономических организаций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Участие России в деятельности международных организаций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Совершенствование государственного управления на основе зарубежного опыта и рекомендаций международных организаций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lastRenderedPageBreak/>
              <w:t>Место России в мировой экономике и на международных рынках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Внешняя торговля России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Таможенная политика России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Валютно-кредитная политика России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Иностранные инвестиции в экономику России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Экономическое сотрудничество России с зарубежными странами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торговля услугами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Международное предпринимательство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Экспортный потенциал субъектов малого и среднего предпринимательства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Новые механизмы хозяйствования и международное сотрудничество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Мировой научно-технический прогресс и международное научно-техническое сотрудничество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научная деятельность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Международный трансферт технологий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торговля объектами интеллектуальной собственности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Мировая валютная система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Международные инвестиции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461BB">
              <w:rPr>
                <w:sz w:val="24"/>
                <w:szCs w:val="24"/>
              </w:rPr>
              <w:t>Инновационно</w:t>
            </w:r>
            <w:proofErr w:type="spellEnd"/>
            <w:r w:rsidRPr="00F461BB">
              <w:rPr>
                <w:sz w:val="24"/>
                <w:szCs w:val="24"/>
              </w:rPr>
              <w:t>-венчурное инвестирование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Мировой финансовый рынок и международные расчетно-платежные системы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Финансовая система России в мировой финансовой системе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Мировой рынок трудовых ресурсов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Развитие человеческого капитала в мире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Международная миграция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Внешнеэкономическая деятельность предприятий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bCs/>
                <w:sz w:val="24"/>
                <w:szCs w:val="24"/>
              </w:rPr>
              <w:t>Разработки и практика применения современных теорий развития мировой экономики и международной торговли</w:t>
            </w:r>
          </w:p>
        </w:tc>
      </w:tr>
      <w:tr w:rsidR="00F461BB" w:rsidRPr="00F461BB" w:rsidTr="00F461BB">
        <w:tc>
          <w:tcPr>
            <w:tcW w:w="8902" w:type="dxa"/>
            <w:shd w:val="clear" w:color="auto" w:fill="auto"/>
          </w:tcPr>
          <w:p w:rsidR="00F461BB" w:rsidRPr="00F461BB" w:rsidRDefault="00F461BB" w:rsidP="00F461BB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F461BB">
              <w:rPr>
                <w:sz w:val="24"/>
                <w:szCs w:val="24"/>
              </w:rPr>
              <w:t>Роль страны в международной торговле и на мировых рынках</w:t>
            </w:r>
          </w:p>
        </w:tc>
      </w:tr>
    </w:tbl>
    <w:p w:rsidR="00230861" w:rsidRPr="00F461BB" w:rsidRDefault="00230861">
      <w:pPr>
        <w:rPr>
          <w:lang w:val="ru-RU"/>
        </w:rPr>
      </w:pPr>
    </w:p>
    <w:sectPr w:rsidR="00230861" w:rsidRPr="00F461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0D97"/>
    <w:multiLevelType w:val="hybridMultilevel"/>
    <w:tmpl w:val="2F4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0861"/>
    <w:rsid w:val="00D31453"/>
    <w:rsid w:val="00E209E2"/>
    <w:rsid w:val="00F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DD599"/>
  <w15:docId w15:val="{752FCB17-ECC7-4A81-A452-165EFC0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10084</Characters>
  <Application>Microsoft Office Word</Application>
  <DocSecurity>0</DocSecurity>
  <Lines>84</Lines>
  <Paragraphs>23</Paragraphs>
  <ScaleCrop>false</ScaleCrop>
  <Company>УрГЭУ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2022-2023_38_03_02-ММ-2022_очное_plx_Менеджер в международной торговле и конъюнктура мировых товарных рынков</dc:title>
  <dc:creator>FastReport.NET</dc:creator>
  <cp:lastModifiedBy>Овсянникова Анастасия Геннадьевна</cp:lastModifiedBy>
  <cp:revision>2</cp:revision>
  <dcterms:created xsi:type="dcterms:W3CDTF">2022-05-13T04:43:00Z</dcterms:created>
  <dcterms:modified xsi:type="dcterms:W3CDTF">2022-05-13T04:44:00Z</dcterms:modified>
</cp:coreProperties>
</file>