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20"/>
        <w:gridCol w:w="1599"/>
        <w:gridCol w:w="7088"/>
        <w:gridCol w:w="425"/>
      </w:tblGrid>
      <w:tr>
        <w:trPr>
          <w:trHeight w:hRule="exact" w:val="304.584"/>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369.999"/>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дисциплины</w:t>
            </w:r>
          </w:p>
        </w:tc>
        <w:tc>
          <w:tcPr>
            <w:tcW w:w="426" w:type="dxa"/>
          </w:tcPr>
          <w:p/>
        </w:tc>
      </w:tr>
      <w:tr>
        <w:trPr>
          <w:trHeight w:hRule="exact" w:val="212.415"/>
        </w:trPr>
        <w:tc>
          <w:tcPr>
            <w:tcW w:w="1521" w:type="dxa"/>
          </w:tcPr>
          <w:p/>
        </w:tc>
        <w:tc>
          <w:tcPr>
            <w:tcW w:w="1600" w:type="dxa"/>
          </w:tcPr>
          <w:p/>
        </w:tc>
        <w:tc>
          <w:tcPr>
            <w:tcW w:w="7089" w:type="dxa"/>
          </w:tcPr>
          <w:p/>
        </w:tc>
        <w:tc>
          <w:tcPr>
            <w:tcW w:w="426" w:type="dxa"/>
          </w:tcP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Дисциплина</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Взаимодействие</w:t>
            </w:r>
            <w:r>
              <w:rPr/>
              <w:t xml:space="preserve"> </w:t>
            </w:r>
            <w:r>
              <w:rPr>
                <w:rFonts w:ascii="Times New Roman" w:hAnsi="Times New Roman" w:cs="Times New Roman"/>
                <w:color w:val="#000000"/>
                <w:sz w:val="24"/>
                <w:szCs w:val="24"/>
              </w:rPr>
              <w:t>власти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общества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процессах</w:t>
            </w:r>
            <w:r>
              <w:rPr/>
              <w:t xml:space="preserve"> </w:t>
            </w:r>
            <w:r>
              <w:rPr>
                <w:rFonts w:ascii="Times New Roman" w:hAnsi="Times New Roman" w:cs="Times New Roman"/>
                <w:color w:val="#000000"/>
                <w:sz w:val="24"/>
                <w:szCs w:val="24"/>
              </w:rPr>
              <w:t>стратегического</w:t>
            </w:r>
            <w:r>
              <w:rPr/>
              <w:t xml:space="preserve"> </w:t>
            </w:r>
            <w:r>
              <w:rPr>
                <w:rFonts w:ascii="Times New Roman" w:hAnsi="Times New Roman" w:cs="Times New Roman"/>
                <w:color w:val="#000000"/>
                <w:sz w:val="24"/>
                <w:szCs w:val="24"/>
              </w:rPr>
              <w:t>планирования</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Направление</w:t>
            </w:r>
            <w:r>
              <w:rPr/>
              <w:t xml:space="preserve"> </w:t>
            </w:r>
            <w:r>
              <w:rPr>
                <w:rFonts w:ascii="Times New Roman" w:hAnsi="Times New Roman" w:cs="Times New Roman"/>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38.04.04</w:t>
            </w:r>
            <w:r>
              <w:rPr/>
              <w:t xml:space="preserve"> </w:t>
            </w:r>
            <w:r>
              <w:rPr>
                <w:rFonts w:ascii="Times New Roman" w:hAnsi="Times New Roman" w:cs="Times New Roman"/>
                <w:color w:val="#000000"/>
                <w:sz w:val="24"/>
                <w:szCs w:val="24"/>
              </w:rPr>
              <w:t>Государственное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муниципальное</w:t>
            </w:r>
            <w:r>
              <w:rPr/>
              <w:t xml:space="preserve"> </w:t>
            </w:r>
            <w:r>
              <w:rPr>
                <w:rFonts w:ascii="Times New Roman" w:hAnsi="Times New Roman" w:cs="Times New Roman"/>
                <w:color w:val="#000000"/>
                <w:sz w:val="24"/>
                <w:szCs w:val="24"/>
              </w:rPr>
              <w:t>управление</w:t>
            </w:r>
            <w:r>
              <w:rPr/>
              <w:t xml:space="preserve"> </w:t>
            </w:r>
          </w:p>
        </w:tc>
      </w:tr>
      <w:tr>
        <w:trPr>
          <w:trHeight w:hRule="exact" w:val="557.1301"/>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Стратегическое</w:t>
            </w:r>
            <w:r>
              <w:rPr/>
              <w:t xml:space="preserve"> </w:t>
            </w:r>
            <w:r>
              <w:rPr>
                <w:rFonts w:ascii="Times New Roman" w:hAnsi="Times New Roman" w:cs="Times New Roman"/>
                <w:color w:val="#000000"/>
                <w:sz w:val="24"/>
                <w:szCs w:val="24"/>
              </w:rPr>
              <w:t>планирование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сфере</w:t>
            </w:r>
            <w:r>
              <w:rPr/>
              <w:t xml:space="preserve"> </w:t>
            </w:r>
            <w:r>
              <w:rPr>
                <w:rFonts w:ascii="Times New Roman" w:hAnsi="Times New Roman" w:cs="Times New Roman"/>
                <w:color w:val="#000000"/>
                <w:sz w:val="24"/>
                <w:szCs w:val="24"/>
              </w:rPr>
              <w:t>государственного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муниципального</w:t>
            </w:r>
            <w:r>
              <w:rPr/>
              <w:t xml:space="preserve"> </w:t>
            </w:r>
            <w:r>
              <w:rPr>
                <w:rFonts w:ascii="Times New Roman" w:hAnsi="Times New Roman" w:cs="Times New Roman"/>
                <w:color w:val="#000000"/>
                <w:sz w:val="24"/>
                <w:szCs w:val="24"/>
              </w:rPr>
              <w:t>управления</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Объем</w:t>
            </w:r>
            <w:r>
              <w:rPr/>
              <w:t xml:space="preserve"> </w:t>
            </w:r>
            <w:r>
              <w:rPr>
                <w:rFonts w:ascii="Times New Roman" w:hAnsi="Times New Roman" w:cs="Times New Roman"/>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з.е</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промежуточной</w:t>
            </w:r>
            <w:r>
              <w:rPr/>
              <w:t xml:space="preserve"> </w:t>
            </w:r>
            <w:r>
              <w:rPr>
                <w:rFonts w:ascii="Times New Roman" w:hAnsi="Times New Roman" w:cs="Times New Roman"/>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Экзамен</w:t>
            </w:r>
            <w:r>
              <w:rPr/>
              <w:t xml:space="preserve"> </w:t>
            </w:r>
          </w:p>
        </w:tc>
      </w:tr>
      <w:tr>
        <w:trPr>
          <w:trHeight w:hRule="exact" w:val="497.742"/>
        </w:trPr>
        <w:tc>
          <w:tcPr>
            <w:tcW w:w="10646.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государственного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муниципального</w:t>
            </w:r>
            <w:r>
              <w:rPr/>
              <w:t xml:space="preserve"> </w:t>
            </w:r>
            <w:r>
              <w:rPr>
                <w:rFonts w:ascii="Times New Roman" w:hAnsi="Times New Roman" w:cs="Times New Roman"/>
                <w:color w:val="#000000"/>
                <w:sz w:val="24"/>
                <w:szCs w:val="24"/>
              </w:rPr>
              <w:t>управления</w:t>
            </w:r>
            <w:r>
              <w:rPr/>
              <w:t xml:space="preserve"> </w:t>
            </w:r>
          </w:p>
        </w:tc>
      </w:tr>
      <w:tr>
        <w:trPr>
          <w:trHeight w:hRule="exact" w:val="285.1799"/>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1179.23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Тема</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Наименование темы</w:t>
            </w:r>
          </w:p>
        </w:tc>
      </w:tr>
      <w:tr>
        <w:trPr>
          <w:trHeight w:hRule="exact" w:val="855.5397"/>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Тема 1. Модели и методы общественного участия в государственном управлении. Принципы и значение взаимодействия власти и общества в процессах стратегического планирования</w:t>
            </w:r>
          </w:p>
        </w:tc>
      </w:tr>
      <w:tr>
        <w:trPr>
          <w:trHeight w:hRule="exact" w:val="585.0598"/>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Тема 2. Модель общественного участия в процедурах стратегического планирования в Российской Федерации</w:t>
            </w:r>
          </w:p>
        </w:tc>
      </w:tr>
      <w:tr>
        <w:trPr>
          <w:trHeight w:hRule="exact" w:val="585.0598"/>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3.</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Тема 3. Принципы и механизмы обеспечения открытости и доступности документов стратегического планирования</w:t>
            </w:r>
          </w:p>
        </w:tc>
      </w:tr>
      <w:tr>
        <w:trPr>
          <w:trHeight w:hRule="exact" w:val="1125.873"/>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4.</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Тема 4. Технологии, механизмы и инструменты организации взаимодействия органов государственной власти, органов государственной власти субъектов Российской Федерации, органов местного самоуправления и институтов гражданского общества в сфере стратегического планирования</w:t>
            </w:r>
          </w:p>
        </w:tc>
      </w:tr>
      <w:tr>
        <w:trPr>
          <w:trHeight w:hRule="exact" w:val="184.632"/>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795"/>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1359.60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Ачкасова В. А., Быков И. А., Гладченко И. А., Дорский А. Ю., Дунаева Ю. Г., Журавлева Н. Н., Побединский И. М., Рущин Д. А., Филатова О. Г. Связи с общественностью в органах власти. [Электронный ресурс]:учебник и практикум для бакалавриата и магистратуры: для студентов вузов, обучающихся по гуманитарным и социально-экономическим направлениям. - Москва: Юрайт, 2019. - 163 – Режим доступа: https://urait.ru/bcode/442202</w:t>
            </w:r>
          </w:p>
        </w:tc>
      </w:tr>
      <w:tr>
        <w:trPr>
          <w:trHeight w:hRule="exact" w:val="826.14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Конюхова И. А., Алешкова И. А., Андриченко Л. В. Конституционно-правовой статус личности в Российской Федерации. [Электронный ресурс]:Учебное пособие для вузов. - Москва: Юрайт, 2020. - 200 – Режим доступа: https://urait.ru/bcode/451348</w:t>
            </w:r>
          </w:p>
        </w:tc>
      </w:tr>
      <w:tr>
        <w:trPr>
          <w:trHeight w:hRule="exact" w:val="1366.95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Меньшикова Г. А., Борисов А. Ф., Васильева Е. А., Волчкова Л. Т., Денисова Ю. В., Малышев В. А., Меркурьева Ю. В., Миронова А. А., Рассказов С. В., Рубцова М. В., Санжимитупова Т. А. Основы государственного и муниципального управления (Public Administration). [Электронный ресурс]:Учебник и практикум для вузов. - Москва: Юрайт, 2020. - 340 – Режим доступа: https://urait.ru/bcode/450610</w:t>
            </w:r>
          </w:p>
        </w:tc>
      </w:tr>
      <w:tr>
        <w:trPr>
          <w:trHeight w:hRule="exact" w:val="424.0955"/>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1089.12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Зеленцов А.Б., Лафитский В.И. Тенденции развития контроля за деятельностью публичной администрации в зарубежных государствах. [Электронный ресурс]:Монография. - Москва: ООО "Научно-издательский центр ИНФРА-М", 2020. - 446 с. – Режим доступа: https://znanium.com/catalog/product/1071611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Осейчук В. И. Правовое обеспечение государственного и муниципального управления. [Электронный ресурс]:Учебник и практикум для вузов. - Москва: Юрайт, 2020. - 269 – Режим доступа: https://urait.ru/bcode/451102</w:t>
            </w:r>
          </w:p>
        </w:tc>
      </w:tr>
      <w:tr>
        <w:trPr>
          <w:trHeight w:hRule="exact" w:val="277.83"/>
        </w:trPr>
        <w:tc>
          <w:tcPr>
            <w:tcW w:w="10774" w:type="dxa"/>
          </w:tcPr>
          <w:p/>
        </w:tc>
      </w:tr>
      <w:tr>
        <w:trPr>
          <w:trHeight w:hRule="exact" w:val="826.1401"/>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48"/>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301"/>
        </w:trPr>
        <w:tc>
          <w:tcPr>
            <w:tcW w:w="10774" w:type="dxa"/>
          </w:tcPr>
          <w:p/>
        </w:tc>
      </w:tr>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Windows</w:t>
            </w:r>
            <w:r>
              <w:rPr/>
              <w:t xml:space="preserve"> </w:t>
            </w: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59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Office</w:t>
            </w:r>
            <w:r>
              <w:rPr/>
              <w:t xml:space="preserve"> </w:t>
            </w:r>
            <w:r>
              <w:rPr>
                <w:rFonts w:ascii="Times New Roman" w:hAnsi="Times New Roman" w:cs="Times New Roman"/>
                <w:color w:val="#000000"/>
                <w:sz w:val="24"/>
                <w:szCs w:val="24"/>
              </w:rPr>
              <w:t>2016.Договор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285.180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Libre</w:t>
            </w:r>
            <w:r>
              <w:rPr/>
              <w:t xml:space="preserve"> </w:t>
            </w:r>
            <w:r>
              <w:rPr>
                <w:rFonts w:ascii="Times New Roman" w:hAnsi="Times New Roman" w:cs="Times New Roman"/>
                <w:color w:val="#000000"/>
                <w:sz w:val="24"/>
                <w:szCs w:val="24"/>
              </w:rPr>
              <w:t>Office.</w:t>
            </w:r>
            <w:r>
              <w:rPr/>
              <w:t xml:space="preserve"> </w:t>
            </w:r>
            <w:r>
              <w:rPr>
                <w:rFonts w:ascii="Times New Roman" w:hAnsi="Times New Roman" w:cs="Times New Roman"/>
                <w:color w:val="#000000"/>
                <w:sz w:val="24"/>
                <w:szCs w:val="24"/>
              </w:rPr>
              <w:t>Лицензия</w:t>
            </w:r>
            <w:r>
              <w:rPr/>
              <w:t xml:space="preserve"> </w:t>
            </w:r>
            <w:r>
              <w:rPr>
                <w:rFonts w:ascii="Times New Roman" w:hAnsi="Times New Roman" w:cs="Times New Roman"/>
                <w:color w:val="#000000"/>
                <w:sz w:val="24"/>
                <w:szCs w:val="24"/>
              </w:rPr>
              <w:t>GNU</w:t>
            </w:r>
            <w:r>
              <w:rPr/>
              <w:t xml:space="preserve"> </w:t>
            </w:r>
            <w:r>
              <w:rPr>
                <w:rFonts w:ascii="Times New Roman" w:hAnsi="Times New Roman" w:cs="Times New Roman"/>
                <w:color w:val="#000000"/>
                <w:sz w:val="24"/>
                <w:szCs w:val="24"/>
              </w:rPr>
              <w:t>LGPL.</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694.57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424.096"/>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Молокова</w:t>
            </w:r>
            <w:r>
              <w:rPr/>
              <w:t xml:space="preserve"> </w:t>
            </w:r>
            <w:r>
              <w:rPr>
                <w:rFonts w:ascii="Times New Roman" w:hAnsi="Times New Roman" w:cs="Times New Roman"/>
                <w:color w:val="#000000"/>
                <w:sz w:val="24"/>
                <w:szCs w:val="24"/>
              </w:rPr>
              <w:t>Елена</w:t>
            </w:r>
            <w:r>
              <w:rPr/>
              <w:t xml:space="preserve"> </w:t>
            </w:r>
            <w:r>
              <w:rPr>
                <w:rFonts w:ascii="Times New Roman" w:hAnsi="Times New Roman" w:cs="Times New Roman"/>
                <w:color w:val="#000000"/>
                <w:sz w:val="24"/>
                <w:szCs w:val="24"/>
              </w:rPr>
              <w:t>Леонидовна</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2021-2022_oz38_04_04_ОЗМ-СПГУ-21_plx_Взаимодействие власти и общества в процессах стратегического планирования</dc:title>
  <dc:creator>FastReport.NET</dc:creator>
</cp:coreProperties>
</file>