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E65D66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D66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E65D66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  <w:bookmarkStart w:id="0" w:name="_GoBack"/>
      <w:bookmarkEnd w:id="0"/>
    </w:p>
    <w:sectPr w:rsidR="008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65D66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2020-03-24T08:04:00Z</dcterms:modified>
</cp:coreProperties>
</file>