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интеллектуального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цифровым</w:t>
            </w:r>
            <w:r>
              <w:rPr/>
              <w:t xml:space="preserve"> </w:t>
            </w:r>
            <w:r>
              <w:rPr>
                <w:rFonts w:ascii="Times New Roman" w:hAnsi="Times New Roman" w:cs="Times New Roman"/>
                <w:color w:val="#000000"/>
                <w:sz w:val="24"/>
                <w:szCs w:val="24"/>
              </w:rPr>
              <w:t>предприятием</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38.04.05</w:t>
            </w:r>
            <w:r>
              <w:rPr/>
              <w:t xml:space="preserve"> </w:t>
            </w:r>
            <w:r>
              <w:rPr>
                <w:rFonts w:ascii="Times New Roman" w:hAnsi="Times New Roman" w:cs="Times New Roman"/>
                <w:color w:val="#000000"/>
                <w:sz w:val="24"/>
                <w:szCs w:val="24"/>
              </w:rPr>
              <w:t>Бизнес-информатика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Интеллектуальное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цифровыми</w:t>
            </w:r>
            <w:r>
              <w:rPr/>
              <w:t xml:space="preserve"> </w:t>
            </w:r>
            <w:r>
              <w:rPr>
                <w:rFonts w:ascii="Times New Roman" w:hAnsi="Times New Roman" w:cs="Times New Roman"/>
                <w:color w:val="#000000"/>
                <w:sz w:val="24"/>
                <w:szCs w:val="24"/>
              </w:rPr>
              <w:t>предприятиями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шахматного</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математики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на всех этапах его жизненного цикла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ИТ-проектами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отношениями с пользователями и поставщиками сервисов ИТ. Управление договорами об уровне предоставления сервисов ИТ</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персоналом, осуществляющим предоставление сервисов ИТ</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Пугачев В. П. Управление персоналом организации. [Электронный ресурс]:учебник и практикум для академического бакалавриата : для студентов вузов, обучающихся по экономическим направлениям. - Москва: Юрайт, 2019. - 402 – Режим доступа: https://urait.ru/bcode/426686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Кибанов А.Я., Захаров Д.К. Конфликтология: Учебник. - (Серия "Высшее образование"). [Электронный ресурс]:Учебник. - Москва: ООО "Научно-издательский центр ИНФРА-М", 2002. - 240 с. – Режим доступа: https://znanium.com/catalog/product/38647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Бухалков М.И. Управление персоналом: развитие трудового потенциала. [Электронный ресурс]:Учебное пособие. - Москва: ООО "Научно-издательский центр ИНФРА-М", 2005. - 192 с. – Режим доступа: https://znanium.com/catalog/product/97153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Авдеев В.В. Управление персоналом. Оптимизация командной работы. [Электронный ресурс]:Реинжиниринговая технология: Учебное пособие. - Москва: ФГУП Издательство "Финансы и Статистика", 2006. - 960 с. – Режим доступа: https://znanium.com/catalog/product/110791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Гунибский М.Ш. Юридическая конфликтология. [Электронный ресурс]:Учебное пособие. - Москва: ООО "Юридическое издательство Норма", 2015. - 176 с. – Режим доступа: https://znanium.com/catalog/product/505657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Ловцов Д. А. Информационное право. [Электронный ресурс]:учебное пособие. - Москва: Российская Академия Правосудия, 2011. - 228 – Режим доступа: https://znanium.com/catalog/product/517558</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Дадян Э.Г., Зеленков Ю.А. Методы, модели, средства хранения и обработки данных. [Электронный ресурс]:Учебник. - Москва: Вузовский учебник, 2017. - 168 с. – Режим доступа: https://znanium.com/catalog/product/543943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Григорьев А.А. Методы и алгоритмы обработки данных. [Электронный ресурс]:Учебное пособие. - Москва: ООО "Научно-издательский центр ИНФРА-М", 2017. - 256 с. – Режим доступа: https://znanium.com/catalog/product/545998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Дадян Э.Г. Данные: хранение и обработка. [Электронный ресурс]:Учебник. - Москва: ООО "Научно-издательский центр ИНФРА-М", 2019. - 205 с. – Режим доступа: https://znanium.com/catalog/product/989190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Информационное право. Тема 2. Субъекты информационного права и информационно- правовые отношения. [Электронный ресурс]:. - Екатеринбург: [б. и.], 2020. - 1 – Режим доступа: http://lib.wbstatic.usue.ru/202008/22.mp4</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Григорьев А.А., Исаев Е.А. Передача, хранение и обработка больших объемов научных данных. [Электронный ресурс]:Учебное пособие. - Москва: ООО "Научно-издательский центр ИНФРА-М", 2021. - 207 с. – Режим доступа: https://znanium.com/catalog/product/1073525</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Лапидус Л.В. Цифровая экономика: Управление электронным бизнесом и электронной коммерцией. [Электронный ресурс]:Монография. - Москва: ООО "Научно-издательский центр ИНФРА-М", 2018. - 381 с. – Режим доступа: https://znanium.com/catalog/product/945447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Маркова В.Д. Цифровая экономика. [Электронный ресурс]:Учебник. - Москва: ООО "Научно-издательский центр ИНФРА-М", 2018. - 186 с. – Режим доступа: https://znanium.com/catalog/product/959818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Дьячков А. Г., Изакова Н. Б., Капустина Л. М., Кислицын Е. В., Орехова С. В., Сурнина Н. М., Шишкина Е. А. Цифровая экономика: трансформация механизмов и инструментов управления в экономических системах. [Электронный ресурс]:[монография]. - Екатеринбург: Издательство УрГЭУ, 2018. - 187 – Режим доступа: http://lib.usue.ru/resource/limit/books/19/m491775.pdf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Камнева Е. В., Гретченко А. И., Дедов Н. П., Жигун Л. А., Коробанова Ж. В., Крылов А. Ю., Неврюев А. Н., Полевая М. В., Полевой С. А., Пряжников Н. С. Цифровая экономика: социально- психологические и управленческие аспекты.:коллективная монография. - Москва: Прометей, 2019. - 171</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SQL</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Express.</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Стандартная</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Python.Python</w:t>
            </w:r>
            <w:r>
              <w:rPr/>
              <w:t xml:space="preserve"> </w:t>
            </w:r>
            <w:r>
              <w:rPr>
                <w:rFonts w:ascii="Times New Roman" w:hAnsi="Times New Roman" w:cs="Times New Roman"/>
                <w:color w:val="#000000"/>
                <w:sz w:val="24"/>
                <w:szCs w:val="24"/>
              </w:rPr>
              <w:t>Software</w:t>
            </w:r>
            <w:r>
              <w:rPr/>
              <w:t xml:space="preserve"> </w:t>
            </w:r>
            <w:r>
              <w:rPr>
                <w:rFonts w:ascii="Times New Roman" w:hAnsi="Times New Roman" w:cs="Times New Roman"/>
                <w:color w:val="#000000"/>
                <w:sz w:val="24"/>
                <w:szCs w:val="24"/>
              </w:rPr>
              <w:t>Foundation</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(PSFL).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Oracle</w:t>
            </w:r>
            <w:r>
              <w:rPr/>
              <w:t xml:space="preserve"> </w:t>
            </w:r>
            <w:r>
              <w:rPr>
                <w:rFonts w:ascii="Times New Roman" w:hAnsi="Times New Roman" w:cs="Times New Roman"/>
                <w:color w:val="#000000"/>
                <w:sz w:val="24"/>
                <w:szCs w:val="24"/>
              </w:rPr>
              <w:t>VM</w:t>
            </w:r>
            <w:r>
              <w:rPr/>
              <w:t xml:space="preserve"> </w:t>
            </w:r>
            <w:r>
              <w:rPr>
                <w:rFonts w:ascii="Times New Roman" w:hAnsi="Times New Roman" w:cs="Times New Roman"/>
                <w:color w:val="#000000"/>
                <w:sz w:val="24"/>
                <w:szCs w:val="24"/>
              </w:rPr>
              <w:t>VirtualBox.</w:t>
            </w:r>
            <w:r>
              <w:rPr/>
              <w:t xml:space="preserve"> </w:t>
            </w:r>
            <w:r>
              <w:rPr>
                <w:rFonts w:ascii="Times New Roman" w:hAnsi="Times New Roman" w:cs="Times New Roman"/>
                <w:color w:val="#000000"/>
                <w:sz w:val="24"/>
                <w:szCs w:val="24"/>
              </w:rPr>
              <w:t>СПО.</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Часовских</w:t>
            </w:r>
            <w:r>
              <w:rPr/>
              <w:t xml:space="preserve"> </w:t>
            </w:r>
            <w:r>
              <w:rPr>
                <w:rFonts w:ascii="Times New Roman" w:hAnsi="Times New Roman" w:cs="Times New Roman"/>
                <w:color w:val="#000000"/>
                <w:sz w:val="24"/>
                <w:szCs w:val="24"/>
              </w:rPr>
              <w:t>В.П.</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2021-2022_oz38_04_05_ОЗМ-ИУвЦП-21_plx_Основы интеллектуального управления цифровым предприятием</dc:title>
  <dc:creator>FastReport.NET</dc:creator>
</cp:coreProperties>
</file>