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C8" w:rsidRDefault="00865F46">
      <w:pPr>
        <w:rPr>
          <w:sz w:val="0"/>
          <w:szCs w:val="0"/>
        </w:rPr>
      </w:pPr>
      <w:r w:rsidRPr="00865F46">
        <w:rPr>
          <w:noProof/>
          <w:lang w:val="ru-RU" w:eastAsia="ru-RU"/>
        </w:rPr>
        <w:drawing>
          <wp:inline distT="0" distB="0" distL="0" distR="0">
            <wp:extent cx="6480810" cy="11436724"/>
            <wp:effectExtent l="0" t="0" r="0" b="0"/>
            <wp:docPr id="1" name="Рисунок 1" descr="T:\Учебно-методическое управление\Учебные планы УрГЭУ\Планы 2022\Сканы титульных листов\Магистратура\РПД\38.04.06 ИЛ_очно-заочная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Учебно-методическое управление\Учебные планы УрГЭУ\Планы 2022\Сканы титульных листов\Магистратура\РПД\38.04.06 ИЛ_очно-заочная\Scan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4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B042C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2C8">
        <w:trPr>
          <w:trHeight w:hRule="exact" w:val="277"/>
        </w:trPr>
        <w:tc>
          <w:tcPr>
            <w:tcW w:w="9498" w:type="dxa"/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  <w:tr w:rsidR="00B042C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042C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  <w:tr w:rsidR="00B042C8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042C8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ПРОЦЕССА ПО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042C8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  <w:tr w:rsidR="00B042C8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042C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  <w:tr w:rsidR="00B042C8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042C8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  <w:tr w:rsidR="00B042C8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042C8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10" w:type="dxa"/>
          </w:tcPr>
          <w:p w:rsidR="00B042C8" w:rsidRDefault="00B042C8"/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4"/>
        <w:gridCol w:w="754"/>
        <w:gridCol w:w="160"/>
        <w:gridCol w:w="768"/>
        <w:gridCol w:w="786"/>
        <w:gridCol w:w="1359"/>
        <w:gridCol w:w="1346"/>
        <w:gridCol w:w="991"/>
        <w:gridCol w:w="1870"/>
      </w:tblGrid>
      <w:tr w:rsidR="00B042C8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B042C8" w:rsidRPr="00865F46">
        <w:trPr>
          <w:trHeight w:hRule="exact" w:val="96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B042C8" w:rsidRPr="00865F46">
        <w:trPr>
          <w:trHeight w:hRule="exact" w:val="99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высшего образования - магистратура по направлению подготовки 38.04.06 Торговое дело (приказ Минобрнауки России от 12.08.2020 г. № 982)</w:t>
            </w:r>
          </w:p>
        </w:tc>
      </w:tr>
      <w:tr w:rsidR="00B042C8">
        <w:trPr>
          <w:trHeight w:hRule="exact" w:val="30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</w:tr>
      <w:tr w:rsidR="00B042C8">
        <w:trPr>
          <w:trHeight w:hRule="exact" w:val="416"/>
        </w:trPr>
        <w:tc>
          <w:tcPr>
            <w:tcW w:w="1985" w:type="dxa"/>
          </w:tcPr>
          <w:p w:rsidR="00B042C8" w:rsidRDefault="00B042C8"/>
        </w:tc>
        <w:tc>
          <w:tcPr>
            <w:tcW w:w="363" w:type="dxa"/>
          </w:tcPr>
          <w:p w:rsidR="00B042C8" w:rsidRDefault="00B042C8"/>
        </w:tc>
        <w:tc>
          <w:tcPr>
            <w:tcW w:w="773" w:type="dxa"/>
          </w:tcPr>
          <w:p w:rsidR="00B042C8" w:rsidRDefault="00B042C8"/>
        </w:tc>
        <w:tc>
          <w:tcPr>
            <w:tcW w:w="159" w:type="dxa"/>
          </w:tcPr>
          <w:p w:rsidR="00B042C8" w:rsidRDefault="00B042C8"/>
        </w:tc>
        <w:tc>
          <w:tcPr>
            <w:tcW w:w="789" w:type="dxa"/>
          </w:tcPr>
          <w:p w:rsidR="00B042C8" w:rsidRDefault="00B042C8"/>
        </w:tc>
        <w:tc>
          <w:tcPr>
            <w:tcW w:w="789" w:type="dxa"/>
          </w:tcPr>
          <w:p w:rsidR="00B042C8" w:rsidRDefault="00B042C8"/>
        </w:tc>
        <w:tc>
          <w:tcPr>
            <w:tcW w:w="1356" w:type="dxa"/>
          </w:tcPr>
          <w:p w:rsidR="00B042C8" w:rsidRDefault="00B042C8"/>
        </w:tc>
        <w:tc>
          <w:tcPr>
            <w:tcW w:w="1355" w:type="dxa"/>
          </w:tcPr>
          <w:p w:rsidR="00B042C8" w:rsidRDefault="00B042C8"/>
        </w:tc>
        <w:tc>
          <w:tcPr>
            <w:tcW w:w="1072" w:type="dxa"/>
          </w:tcPr>
          <w:p w:rsidR="00B042C8" w:rsidRDefault="00B042C8"/>
        </w:tc>
        <w:tc>
          <w:tcPr>
            <w:tcW w:w="2143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042C8" w:rsidRPr="00865F46">
        <w:trPr>
          <w:trHeight w:hRule="exact" w:val="136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"Контрактная логистика" является изучение 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теоретического обоснования и практической проработки передачи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-оператору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-оператору) части или всех организационных вопросов по управлению и оптимизации материальных потоков, для снижения издержек, сокращению затрат на транспортировку, складских 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 и сосредотачения на основных компетенциях своего бизнеса</w:t>
            </w:r>
          </w:p>
        </w:tc>
      </w:tr>
      <w:tr w:rsidR="00B042C8" w:rsidRPr="00865F46">
        <w:trPr>
          <w:trHeight w:hRule="exact" w:val="277"/>
        </w:trPr>
        <w:tc>
          <w:tcPr>
            <w:tcW w:w="1985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</w:tr>
      <w:tr w:rsidR="00B042C8" w:rsidRPr="00865F46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865F46">
              <w:rPr>
                <w:lang w:val="ru-RU"/>
              </w:rPr>
              <w:t xml:space="preserve">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865F46">
              <w:rPr>
                <w:lang w:val="ru-RU"/>
              </w:rPr>
              <w:t xml:space="preserve">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65F46">
              <w:rPr>
                <w:lang w:val="ru-RU"/>
              </w:rPr>
              <w:t xml:space="preserve">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65F46">
              <w:rPr>
                <w:lang w:val="ru-RU"/>
              </w:rPr>
              <w:t xml:space="preserve">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865F46">
              <w:rPr>
                <w:lang w:val="ru-RU"/>
              </w:rPr>
              <w:t xml:space="preserve"> </w:t>
            </w:r>
            <w:r w:rsidRPr="00865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865F46">
              <w:rPr>
                <w:lang w:val="ru-RU"/>
              </w:rPr>
              <w:t xml:space="preserve"> </w:t>
            </w:r>
          </w:p>
        </w:tc>
      </w:tr>
      <w:tr w:rsidR="00B042C8" w:rsidRPr="00865F46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B042C8" w:rsidRPr="00865F46" w:rsidRDefault="00B042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42C8" w:rsidRPr="00865F46">
        <w:trPr>
          <w:trHeight w:hRule="exact" w:val="277"/>
        </w:trPr>
        <w:tc>
          <w:tcPr>
            <w:tcW w:w="1985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</w:tr>
      <w:tr w:rsidR="00B042C8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B042C8">
        <w:trPr>
          <w:trHeight w:hRule="exact" w:val="418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143" w:type="dxa"/>
          </w:tcPr>
          <w:p w:rsidR="00B042C8" w:rsidRDefault="00B042C8"/>
        </w:tc>
      </w:tr>
      <w:tr w:rsidR="00B042C8" w:rsidRPr="00865F46">
        <w:trPr>
          <w:trHeight w:hRule="exact" w:val="279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Всего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865F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865F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B042C8" w:rsidRPr="00865F46" w:rsidRDefault="00865F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</w:tr>
      <w:tr w:rsidR="00B042C8" w:rsidRPr="00865F46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865F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B042C8" w:rsidRPr="00865F46" w:rsidRDefault="00865F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Pr="00865F46" w:rsidRDefault="00B042C8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B042C8" w:rsidRPr="00865F46" w:rsidRDefault="00B042C8">
            <w:pPr>
              <w:rPr>
                <w:lang w:val="ru-RU"/>
              </w:rPr>
            </w:pPr>
          </w:p>
        </w:tc>
      </w:tr>
      <w:tr w:rsidR="00B042C8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2143" w:type="dxa"/>
          </w:tcPr>
          <w:p w:rsidR="00B042C8" w:rsidRDefault="00B042C8"/>
        </w:tc>
      </w:tr>
      <w:tr w:rsidR="00B042C8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43" w:type="dxa"/>
          </w:tcPr>
          <w:p w:rsidR="00B042C8" w:rsidRDefault="00B042C8"/>
        </w:tc>
      </w:tr>
      <w:tr w:rsidR="00B042C8">
        <w:trPr>
          <w:trHeight w:hRule="exact" w:val="277"/>
        </w:trPr>
        <w:tc>
          <w:tcPr>
            <w:tcW w:w="1985" w:type="dxa"/>
          </w:tcPr>
          <w:p w:rsidR="00B042C8" w:rsidRDefault="00B042C8"/>
        </w:tc>
        <w:tc>
          <w:tcPr>
            <w:tcW w:w="363" w:type="dxa"/>
          </w:tcPr>
          <w:p w:rsidR="00B042C8" w:rsidRDefault="00B042C8"/>
        </w:tc>
        <w:tc>
          <w:tcPr>
            <w:tcW w:w="773" w:type="dxa"/>
          </w:tcPr>
          <w:p w:rsidR="00B042C8" w:rsidRDefault="00B042C8"/>
        </w:tc>
        <w:tc>
          <w:tcPr>
            <w:tcW w:w="159" w:type="dxa"/>
          </w:tcPr>
          <w:p w:rsidR="00B042C8" w:rsidRDefault="00B042C8"/>
        </w:tc>
        <w:tc>
          <w:tcPr>
            <w:tcW w:w="789" w:type="dxa"/>
          </w:tcPr>
          <w:p w:rsidR="00B042C8" w:rsidRDefault="00B042C8"/>
        </w:tc>
        <w:tc>
          <w:tcPr>
            <w:tcW w:w="789" w:type="dxa"/>
          </w:tcPr>
          <w:p w:rsidR="00B042C8" w:rsidRDefault="00B042C8"/>
        </w:tc>
        <w:tc>
          <w:tcPr>
            <w:tcW w:w="1356" w:type="dxa"/>
          </w:tcPr>
          <w:p w:rsidR="00B042C8" w:rsidRDefault="00B042C8"/>
        </w:tc>
        <w:tc>
          <w:tcPr>
            <w:tcW w:w="1355" w:type="dxa"/>
          </w:tcPr>
          <w:p w:rsidR="00B042C8" w:rsidRDefault="00B042C8"/>
        </w:tc>
        <w:tc>
          <w:tcPr>
            <w:tcW w:w="1072" w:type="dxa"/>
          </w:tcPr>
          <w:p w:rsidR="00B042C8" w:rsidRDefault="00B042C8"/>
        </w:tc>
        <w:tc>
          <w:tcPr>
            <w:tcW w:w="2143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B042C8" w:rsidRPr="00865F46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B042C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B042C8">
        <w:trPr>
          <w:trHeight w:hRule="exact" w:val="96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042C8">
        <w:trPr>
          <w:trHeight w:hRule="exact" w:val="2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7281"/>
      </w:tblGrid>
      <w:tr w:rsidR="00B042C8">
        <w:trPr>
          <w:trHeight w:hRule="exact" w:val="571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 Экспертиза закупочной процедуры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 Знать: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гражданского, бюджетного, трудового и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административного законодательства в части применения к закупкам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Экономические основы и особенности ценообразования на рынке по направлениям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бухгалтерского учета в части применения к закупкам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статистики в части применения к закупкам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составления закупочной документации</w:t>
            </w:r>
          </w:p>
          <w:p w:rsidR="00B042C8" w:rsidRPr="00865F46" w:rsidRDefault="00865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Методология проведения проверки (экспертизы) закупочной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роцедуры и документации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Этика делового общения и правила ведения переговоров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Дисциплина труда и внутренний трудовой распорядок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</w:t>
            </w:r>
          </w:p>
        </w:tc>
      </w:tr>
      <w:tr w:rsidR="00B042C8">
        <w:trPr>
          <w:trHeight w:hRule="exact" w:val="382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ИД-2.ПК-1 Уметь: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вычислительную и иную вспомогательную технику, средства связи и коммуникаций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нарушения и несоответствия при проведении экспертной оценки закупочной документации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нарушения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несоответствия при проведении экспертной оценки заявок в процедуре закупки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нарушения и несоответствия при проведении экспертной оценки подведения итогов процедуры, в том числе при пересчете баллов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локально-нормативные документы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и оформлять по результатам экспертизы документ в виде заключения</w:t>
            </w:r>
          </w:p>
        </w:tc>
      </w:tr>
      <w:tr w:rsidR="00B042C8">
        <w:trPr>
          <w:trHeight w:hRule="exact" w:val="27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ИД-3.ПК-1 Иметь практический опыт: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экспертной оценки закупочной документации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экспертной оценки заявок в процедуре закупки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Проведения экспертной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подведения итогов процедуры, в том числе пересчет баллов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Разработки методологической базы в рамках закупочной деятельности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Составления и оформления по результатам экспертизы документа в виде заключения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94"/>
        <w:gridCol w:w="2062"/>
        <w:gridCol w:w="773"/>
        <w:gridCol w:w="792"/>
        <w:gridCol w:w="892"/>
        <w:gridCol w:w="892"/>
        <w:gridCol w:w="745"/>
        <w:gridCol w:w="1172"/>
      </w:tblGrid>
      <w:tr w:rsidR="00B042C8">
        <w:trPr>
          <w:trHeight w:hRule="exact" w:val="5447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 Экспертиза исполнения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контракта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ИД-1.ПК-2 Знать: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гражданского, бюджетного, трудового и административного законодательства в части 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к закупкам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Экономические основы и особенности ценообразования на рынке по направлениям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бухгалтерского учета в части применения к закупкам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статистики в части применения к закупкам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составления закупочной документации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претензионной работы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Методология проведения экспертизы соответствия результатов,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контрактом, условиям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Этика делового общения и правила ведения переговоров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Дисциплина труда и внутренний трудовой распорядок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</w:t>
            </w:r>
          </w:p>
        </w:tc>
      </w:tr>
      <w:tr w:rsidR="00B042C8">
        <w:trPr>
          <w:trHeight w:hRule="exact" w:val="328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ИД-2.ПК-2 Уметь: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вычислительную и иную вспомогательную технику,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и коммуникаций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при осуществлении экспертизы нарушения выполнения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при осуществлении экспертизы нарушения результатов, предусмотренных контрактом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при осуществлении проверки нарушения качества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работ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и оформлять по результатам экспертизы документ в виде заключения</w:t>
            </w:r>
          </w:p>
        </w:tc>
      </w:tr>
      <w:tr w:rsidR="00B042C8">
        <w:trPr>
          <w:trHeight w:hRule="exact" w:val="3554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B042C8"/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ИД-3.ПК-2 Иметь практический опыт: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Осуществления экспертизы выполнения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Осуществления экспертизы соответствия результатов,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контрактом, условиям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Осуществления проверки соответствия фактов и данных при экспертизе результатов, предусмотренных контрактом, условиям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Осуществления проверки соответствия качества товаров, услуг, работ при экспертизе результатов,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предусмотренных контрактом, условиям контракта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Составления и оформления по результатам экспертизы документа в виде заключения</w:t>
            </w:r>
          </w:p>
        </w:tc>
      </w:tr>
      <w:tr w:rsidR="00B042C8">
        <w:trPr>
          <w:trHeight w:hRule="exact" w:val="277"/>
        </w:trPr>
        <w:tc>
          <w:tcPr>
            <w:tcW w:w="953" w:type="dxa"/>
          </w:tcPr>
          <w:p w:rsidR="00B042C8" w:rsidRDefault="00B042C8"/>
        </w:tc>
        <w:tc>
          <w:tcPr>
            <w:tcW w:w="2167" w:type="dxa"/>
          </w:tcPr>
          <w:p w:rsidR="00B042C8" w:rsidRDefault="00B042C8"/>
        </w:tc>
        <w:tc>
          <w:tcPr>
            <w:tcW w:w="2326" w:type="dxa"/>
          </w:tcPr>
          <w:p w:rsidR="00B042C8" w:rsidRDefault="00B042C8"/>
        </w:tc>
        <w:tc>
          <w:tcPr>
            <w:tcW w:w="806" w:type="dxa"/>
          </w:tcPr>
          <w:p w:rsidR="00B042C8" w:rsidRDefault="00B042C8"/>
        </w:tc>
        <w:tc>
          <w:tcPr>
            <w:tcW w:w="809" w:type="dxa"/>
          </w:tcPr>
          <w:p w:rsidR="00B042C8" w:rsidRDefault="00B042C8"/>
        </w:tc>
        <w:tc>
          <w:tcPr>
            <w:tcW w:w="894" w:type="dxa"/>
          </w:tcPr>
          <w:p w:rsidR="00B042C8" w:rsidRDefault="00B042C8"/>
        </w:tc>
        <w:tc>
          <w:tcPr>
            <w:tcW w:w="894" w:type="dxa"/>
          </w:tcPr>
          <w:p w:rsidR="00B042C8" w:rsidRDefault="00B042C8"/>
        </w:tc>
        <w:tc>
          <w:tcPr>
            <w:tcW w:w="753" w:type="dxa"/>
          </w:tcPr>
          <w:p w:rsidR="00B042C8" w:rsidRDefault="00B042C8"/>
        </w:tc>
        <w:tc>
          <w:tcPr>
            <w:tcW w:w="1180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B042C8">
        <w:trPr>
          <w:trHeight w:hRule="exact" w:val="4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B042C8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B042C8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</w:tr>
      <w:tr w:rsidR="00B042C8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6"/>
        <w:gridCol w:w="2118"/>
        <w:gridCol w:w="1568"/>
        <w:gridCol w:w="773"/>
        <w:gridCol w:w="757"/>
        <w:gridCol w:w="813"/>
        <w:gridCol w:w="654"/>
        <w:gridCol w:w="209"/>
        <w:gridCol w:w="757"/>
        <w:gridCol w:w="1082"/>
      </w:tblGrid>
      <w:tr w:rsidR="00B042C8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логистических услугах. Классификация уровней делегирования логистических функций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</w:tr>
      <w:tr w:rsidR="00B042C8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</w:tr>
      <w:tr w:rsidR="00B042C8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моделей логистического аутсорсинга. Логистический интегратор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B042C8"/>
        </w:tc>
      </w:tr>
      <w:tr w:rsidR="00B042C8">
        <w:trPr>
          <w:trHeight w:hRule="exact" w:val="277"/>
        </w:trPr>
        <w:tc>
          <w:tcPr>
            <w:tcW w:w="953" w:type="dxa"/>
          </w:tcPr>
          <w:p w:rsidR="00B042C8" w:rsidRDefault="00B042C8"/>
        </w:tc>
        <w:tc>
          <w:tcPr>
            <w:tcW w:w="608" w:type="dxa"/>
          </w:tcPr>
          <w:p w:rsidR="00B042C8" w:rsidRDefault="00B042C8"/>
        </w:tc>
        <w:tc>
          <w:tcPr>
            <w:tcW w:w="2127" w:type="dxa"/>
          </w:tcPr>
          <w:p w:rsidR="00B042C8" w:rsidRDefault="00B042C8"/>
        </w:tc>
        <w:tc>
          <w:tcPr>
            <w:tcW w:w="1759" w:type="dxa"/>
          </w:tcPr>
          <w:p w:rsidR="00B042C8" w:rsidRDefault="00B042C8"/>
        </w:tc>
        <w:tc>
          <w:tcPr>
            <w:tcW w:w="806" w:type="dxa"/>
          </w:tcPr>
          <w:p w:rsidR="00B042C8" w:rsidRDefault="00B042C8"/>
        </w:tc>
        <w:tc>
          <w:tcPr>
            <w:tcW w:w="809" w:type="dxa"/>
          </w:tcPr>
          <w:p w:rsidR="00B042C8" w:rsidRDefault="00B042C8"/>
        </w:tc>
        <w:tc>
          <w:tcPr>
            <w:tcW w:w="894" w:type="dxa"/>
          </w:tcPr>
          <w:p w:rsidR="00B042C8" w:rsidRDefault="00B042C8"/>
        </w:tc>
        <w:tc>
          <w:tcPr>
            <w:tcW w:w="698" w:type="dxa"/>
          </w:tcPr>
          <w:p w:rsidR="00B042C8" w:rsidRDefault="00B042C8"/>
        </w:tc>
        <w:tc>
          <w:tcPr>
            <w:tcW w:w="197" w:type="dxa"/>
          </w:tcPr>
          <w:p w:rsidR="00B042C8" w:rsidRDefault="00B042C8"/>
        </w:tc>
        <w:tc>
          <w:tcPr>
            <w:tcW w:w="753" w:type="dxa"/>
          </w:tcPr>
          <w:p w:rsidR="00B042C8" w:rsidRDefault="00B042C8"/>
        </w:tc>
        <w:tc>
          <w:tcPr>
            <w:tcW w:w="1175" w:type="dxa"/>
          </w:tcPr>
          <w:p w:rsidR="00B042C8" w:rsidRDefault="00B042C8"/>
        </w:tc>
      </w:tr>
      <w:tr w:rsidR="00B042C8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042C8">
        <w:trPr>
          <w:trHeight w:hRule="exact" w:val="277"/>
        </w:trPr>
        <w:tc>
          <w:tcPr>
            <w:tcW w:w="953" w:type="dxa"/>
          </w:tcPr>
          <w:p w:rsidR="00B042C8" w:rsidRDefault="00B042C8"/>
        </w:tc>
        <w:tc>
          <w:tcPr>
            <w:tcW w:w="608" w:type="dxa"/>
          </w:tcPr>
          <w:p w:rsidR="00B042C8" w:rsidRDefault="00B042C8"/>
        </w:tc>
        <w:tc>
          <w:tcPr>
            <w:tcW w:w="2127" w:type="dxa"/>
          </w:tcPr>
          <w:p w:rsidR="00B042C8" w:rsidRDefault="00B042C8"/>
        </w:tc>
        <w:tc>
          <w:tcPr>
            <w:tcW w:w="1759" w:type="dxa"/>
          </w:tcPr>
          <w:p w:rsidR="00B042C8" w:rsidRDefault="00B042C8"/>
        </w:tc>
        <w:tc>
          <w:tcPr>
            <w:tcW w:w="806" w:type="dxa"/>
          </w:tcPr>
          <w:p w:rsidR="00B042C8" w:rsidRDefault="00B042C8"/>
        </w:tc>
        <w:tc>
          <w:tcPr>
            <w:tcW w:w="809" w:type="dxa"/>
          </w:tcPr>
          <w:p w:rsidR="00B042C8" w:rsidRDefault="00B042C8"/>
        </w:tc>
        <w:tc>
          <w:tcPr>
            <w:tcW w:w="894" w:type="dxa"/>
          </w:tcPr>
          <w:p w:rsidR="00B042C8" w:rsidRDefault="00B042C8"/>
        </w:tc>
        <w:tc>
          <w:tcPr>
            <w:tcW w:w="698" w:type="dxa"/>
          </w:tcPr>
          <w:p w:rsidR="00B042C8" w:rsidRDefault="00B042C8"/>
        </w:tc>
        <w:tc>
          <w:tcPr>
            <w:tcW w:w="197" w:type="dxa"/>
          </w:tcPr>
          <w:p w:rsidR="00B042C8" w:rsidRDefault="00B042C8"/>
        </w:tc>
        <w:tc>
          <w:tcPr>
            <w:tcW w:w="753" w:type="dxa"/>
          </w:tcPr>
          <w:p w:rsidR="00B042C8" w:rsidRDefault="00B042C8"/>
        </w:tc>
        <w:tc>
          <w:tcPr>
            <w:tcW w:w="1175" w:type="dxa"/>
          </w:tcPr>
          <w:p w:rsidR="00B042C8" w:rsidRDefault="00B042C8"/>
        </w:tc>
      </w:tr>
      <w:tr w:rsidR="00B042C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B042C8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B042C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вопросов в тесте - 10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б. за каждый правильный ответ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2C8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B042C8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билет</w:t>
            </w:r>
          </w:p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5)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из 2 теоретических вопроса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2C8">
        <w:trPr>
          <w:trHeight w:hRule="exact" w:val="277"/>
        </w:trPr>
        <w:tc>
          <w:tcPr>
            <w:tcW w:w="953" w:type="dxa"/>
          </w:tcPr>
          <w:p w:rsidR="00B042C8" w:rsidRDefault="00B042C8"/>
        </w:tc>
        <w:tc>
          <w:tcPr>
            <w:tcW w:w="608" w:type="dxa"/>
          </w:tcPr>
          <w:p w:rsidR="00B042C8" w:rsidRDefault="00B042C8"/>
        </w:tc>
        <w:tc>
          <w:tcPr>
            <w:tcW w:w="2127" w:type="dxa"/>
          </w:tcPr>
          <w:p w:rsidR="00B042C8" w:rsidRDefault="00B042C8"/>
        </w:tc>
        <w:tc>
          <w:tcPr>
            <w:tcW w:w="1759" w:type="dxa"/>
          </w:tcPr>
          <w:p w:rsidR="00B042C8" w:rsidRDefault="00B042C8"/>
        </w:tc>
        <w:tc>
          <w:tcPr>
            <w:tcW w:w="806" w:type="dxa"/>
          </w:tcPr>
          <w:p w:rsidR="00B042C8" w:rsidRDefault="00B042C8"/>
        </w:tc>
        <w:tc>
          <w:tcPr>
            <w:tcW w:w="809" w:type="dxa"/>
          </w:tcPr>
          <w:p w:rsidR="00B042C8" w:rsidRDefault="00B042C8"/>
        </w:tc>
        <w:tc>
          <w:tcPr>
            <w:tcW w:w="894" w:type="dxa"/>
          </w:tcPr>
          <w:p w:rsidR="00B042C8" w:rsidRDefault="00B042C8"/>
        </w:tc>
        <w:tc>
          <w:tcPr>
            <w:tcW w:w="698" w:type="dxa"/>
          </w:tcPr>
          <w:p w:rsidR="00B042C8" w:rsidRDefault="00B042C8"/>
        </w:tc>
        <w:tc>
          <w:tcPr>
            <w:tcW w:w="197" w:type="dxa"/>
          </w:tcPr>
          <w:p w:rsidR="00B042C8" w:rsidRDefault="00B042C8"/>
        </w:tc>
        <w:tc>
          <w:tcPr>
            <w:tcW w:w="753" w:type="dxa"/>
          </w:tcPr>
          <w:p w:rsidR="00B042C8" w:rsidRDefault="00B042C8"/>
        </w:tc>
        <w:tc>
          <w:tcPr>
            <w:tcW w:w="1175" w:type="dxa"/>
          </w:tcPr>
          <w:p w:rsidR="00B042C8" w:rsidRDefault="00B042C8"/>
        </w:tc>
      </w:tr>
      <w:tr w:rsidR="00B042C8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B042C8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ОПОП формируется на основе объединения текущей и промежуточной аттестации обучающегося.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показывает уровень подготовки студента.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обучения по данной дисциплине.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стация также проводится по окончанию формирования компетенций.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61"/>
        <w:gridCol w:w="5687"/>
      </w:tblGrid>
      <w:tr w:rsidR="00B042C8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</w:tr>
      <w:tr w:rsidR="00B042C8">
        <w:trPr>
          <w:trHeight w:hRule="exact" w:val="25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</w:tr>
      <w:tr w:rsidR="00B042C8">
        <w:trPr>
          <w:trHeight w:hRule="exact" w:val="36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организовать, планировать процессы исследования, осуществлять оценку результатов.</w:t>
            </w:r>
          </w:p>
          <w:p w:rsidR="00B042C8" w:rsidRDefault="00B042C8">
            <w:pPr>
              <w:spacing w:after="0" w:line="240" w:lineRule="auto"/>
              <w:rPr>
                <w:sz w:val="24"/>
                <w:szCs w:val="24"/>
              </w:rPr>
            </w:pPr>
          </w:p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</w:tr>
      <w:tr w:rsidR="00B042C8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осуществлять оценку результатов на среднем уровне.</w:t>
            </w:r>
          </w:p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B042C8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оценку результатов.</w:t>
            </w:r>
          </w:p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</w:tr>
      <w:tr w:rsidR="00B042C8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B042C8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</w:tr>
      <w:tr w:rsidR="00B042C8">
        <w:trPr>
          <w:trHeight w:hRule="exact" w:val="277"/>
        </w:trPr>
        <w:tc>
          <w:tcPr>
            <w:tcW w:w="2175" w:type="dxa"/>
          </w:tcPr>
          <w:p w:rsidR="00B042C8" w:rsidRDefault="00B042C8"/>
        </w:tc>
        <w:tc>
          <w:tcPr>
            <w:tcW w:w="2458" w:type="dxa"/>
          </w:tcPr>
          <w:p w:rsidR="00B042C8" w:rsidRDefault="00B042C8"/>
        </w:tc>
        <w:tc>
          <w:tcPr>
            <w:tcW w:w="5860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2175" w:type="dxa"/>
          </w:tcPr>
          <w:p w:rsidR="00B042C8" w:rsidRDefault="00B042C8"/>
        </w:tc>
        <w:tc>
          <w:tcPr>
            <w:tcW w:w="2458" w:type="dxa"/>
          </w:tcPr>
          <w:p w:rsidR="00B042C8" w:rsidRDefault="00B042C8"/>
        </w:tc>
        <w:tc>
          <w:tcPr>
            <w:tcW w:w="5860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2175" w:type="dxa"/>
          </w:tcPr>
          <w:p w:rsidR="00B042C8" w:rsidRDefault="00B042C8"/>
        </w:tc>
        <w:tc>
          <w:tcPr>
            <w:tcW w:w="2458" w:type="dxa"/>
          </w:tcPr>
          <w:p w:rsidR="00B042C8" w:rsidRDefault="00B042C8"/>
        </w:tc>
        <w:tc>
          <w:tcPr>
            <w:tcW w:w="5860" w:type="dxa"/>
          </w:tcPr>
          <w:p w:rsidR="00B042C8" w:rsidRDefault="00B042C8"/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2C8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Потребность в логистических услугах. Классификация уровней делегирования логистических функций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Практические примеры реализации 4PL-концепта. TPL в России. Использование BPM для логистики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BPM. Разработка, моделирование, исполнение, мониторинг, оптимизация. Функционал BPM</w:t>
            </w:r>
          </w:p>
        </w:tc>
      </w:tr>
      <w:tr w:rsidR="00B042C8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Характеристика моделей логистического аутсорсинга. Логистический интегратор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Контрактная логистика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Логистический базис. Управление логистическим цикл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 Логистический цикл. Логистический оператор. Эффективные мероприятия по оптимизации логистики. Экономия логистических ресурсов. Содержание контракта. Метод разделения доходов от экономии. Быстрая окупаемость. Гарантирование экономии</w:t>
            </w:r>
          </w:p>
        </w:tc>
      </w:tr>
      <w:tr w:rsidR="00B042C8">
        <w:trPr>
          <w:trHeight w:hRule="exact" w:val="277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занятий и лабораторных работ</w:t>
            </w:r>
          </w:p>
        </w:tc>
      </w:tr>
      <w:tr w:rsidR="00B042C8">
        <w:trPr>
          <w:trHeight w:hRule="exact" w:val="21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Потребность в логистических услугах. Классификация уровней делегирования логистических функций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Практические примеры реализации 4PL-концепта. TPL в России. Использование BPM для логистики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4PL. Качественный аспект. Количественный аспект. Услуги 4PL- провайдера. Подготовка к передаче логистических функций на аутсорсинг. Управление материально- техническим обеспечением</w:t>
            </w:r>
          </w:p>
        </w:tc>
      </w:tr>
      <w:tr w:rsidR="00B042C8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Характеристика моделей логистического аутсорсинга.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огистический интегратор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Контрактная логистика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контракта. Карта продукта. Первый этап: Аудит цепочки поставок. Второй этап: Подготовка логистического контракта. Третий этап: Заключение контракта. Четвертый этап: Внедрение АСУ. Предлагае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решение. Пятый этап: Работа по контракту. Шестой этап: Завершение контракта</w:t>
            </w:r>
          </w:p>
        </w:tc>
      </w:tr>
      <w:tr w:rsidR="00B042C8">
        <w:trPr>
          <w:trHeight w:hRule="exact" w:val="277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B042C8">
        <w:trPr>
          <w:trHeight w:hRule="exact" w:val="24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Потребность в логистических услугах. Классификация уровней делегирования логистических функций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самостоятельной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(подготовка докладов, рефератов, сообщений по наиболее актуальным темам):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теоретических взглядов по данному вопросу.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публикаций в периодической печати и на профильных Интернет-сайтах.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правовыми информационными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мами, нормативно-правовой документацией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Решение тестов</w:t>
            </w:r>
          </w:p>
        </w:tc>
      </w:tr>
      <w:tr w:rsidR="00B042C8">
        <w:trPr>
          <w:trHeight w:hRule="exact" w:val="22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Характеристика моделей логистического аутсорсинга. Логистический интегратор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самостоятельной работы (подготовка докладов, рефератов, сообщений по наиболее актуальным темам):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теоретических взглядов по данному вопросу.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публикаций в периодической печати и на профильных Интернет-сайтах.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правовыми информационными системами, нормативно-правовой документацией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Решение тестов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2C8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7.3.1. Примерные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самостоятельной подготовки к зачету/экзамену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B042C8" w:rsidRDefault="00B042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042C8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B042C8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 учебным планом</w:t>
            </w:r>
          </w:p>
        </w:tc>
      </w:tr>
      <w:tr w:rsidR="00B042C8">
        <w:trPr>
          <w:trHeight w:hRule="exact" w:val="12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Электронное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электронном портфолио обучающегося по дисциплине «Контрактная логистика» размещение материалов не предусмотрено для учебного плана очно-заочной формы обучения</w:t>
            </w:r>
          </w:p>
        </w:tc>
      </w:tr>
      <w:tr w:rsidR="00B042C8">
        <w:trPr>
          <w:trHeight w:hRule="exact" w:val="125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рекомендации по выполнению контрольной работы по дисциплине «Контрактная логистика» не предусмотрены для учебного плана очно-заочной формы обучения</w:t>
            </w:r>
          </w:p>
        </w:tc>
      </w:tr>
      <w:tr w:rsidR="00B042C8">
        <w:trPr>
          <w:trHeight w:hRule="exact" w:val="12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выполнению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работы по дисциплине  «Контрактная логистика» не предусмотрены для учебного плана очно-заочной формы обучения</w:t>
            </w:r>
          </w:p>
        </w:tc>
      </w:tr>
      <w:tr w:rsidR="00B042C8">
        <w:trPr>
          <w:trHeight w:hRule="exact" w:val="277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B042C8">
        <w:trPr>
          <w:trHeight w:hRule="exact" w:val="355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B042C8">
        <w:trPr>
          <w:trHeight w:hRule="exact" w:val="277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042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B042C8">
        <w:trPr>
          <w:trHeight w:hRule="exact" w:val="416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042C8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Антонов Г. Д., Иванова О.П. Управление снабжением и сбытом организации [Электронный ресурс]:Учебник.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"Научно-издательский центр ИНФРА-М", 2021. - 288 – Режим доступа: https://znanium.com/catalog/product/1317934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2C8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Стерлигова А.Н. Управление запасами в цепях поставок [Электронный ресурс]:Учебник. - Москва: ООО "Научно-издательский центр ИНФРА-М",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- 430 – Режим доступа: https://znanium.com/catalog/product/1832388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Сергеев В. И., Эльяшевич И. П. Логистика снабжения [Электронный ресурс]:Учебник для вузов. - Москва: Юрайт, 2022. - 440 – Режим доступа: https://urait.ru/bcode/489413</w:t>
            </w:r>
          </w:p>
        </w:tc>
      </w:tr>
      <w:tr w:rsidR="00B042C8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Герами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 Колик А. В. Управление транспортными системами. Транспортное обеспечение логистики [Электронный ресурс]:Учебник и практикум для вузов. - Москва: Юрайт, 2022. - 533 – Режим доступа: https://urait.ru/bcode/489316</w:t>
            </w:r>
          </w:p>
        </w:tc>
      </w:tr>
      <w:tr w:rsidR="00B042C8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Мищенко А.В. Оптимизационные модели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инвестициями в логистике [Электронный ресурс]:Учебное пособие. - Москва: ООО "Научно-издательский центр ИНФРА-М", 2022. - 388 – Режим доступа: https://znanium.com/catalog/product/1839692</w:t>
            </w:r>
          </w:p>
        </w:tc>
      </w:tr>
      <w:tr w:rsidR="00B042C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042C8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Королев В. И., Зайцев Л.Г.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менеджмента в международном бизнесе [Электронный ресурс]:Монография. - Москва: Издательство "Магистр", 2018. - 400 – Режим доступа: https://znanium.com/catalog/product/960054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Неруш Ю. М., Неруш А. Ю. Логистика [Электронный ресурс]: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для вузов. - Москва: Юрайт, 2022. - 454 – Режим доступа: https://urait.ru/bcode/489248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Неруш Ю. М., Неруш А. Ю. Логистика. Практикум [Электронный ресурс]:Учебное пособие для вузов. - Москва: Юрайт, 2022. - 221 – Режим доступа: https://urait.ru/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bcode/489301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Дыбская В. В., Сергеев В. И. Логистика в 2 ч. Часть 1 [Электронный ресурс]:Учебник для вузов. - Москва: Юрайт, 2022. - 317 – Режим доступа: https://urait.ru/bcode/488942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Дыбская В. В., Сергеев В. И. Логистика в 2 ч. Часть 2 [Электронны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ресурс]:Учебник для вузов. - Москва: Юрайт, 2022. - 341 – Режим доступа: https://urait.ru/bcode/490523</w:t>
            </w:r>
          </w:p>
        </w:tc>
      </w:tr>
      <w:tr w:rsidR="00B042C8">
        <w:trPr>
          <w:trHeight w:hRule="exact" w:val="277"/>
        </w:trPr>
        <w:tc>
          <w:tcPr>
            <w:tcW w:w="10774" w:type="dxa"/>
          </w:tcPr>
          <w:p w:rsidR="00B042C8" w:rsidRDefault="00B042C8"/>
        </w:tc>
      </w:tr>
      <w:tr w:rsidR="00B042C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042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042C8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042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042C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042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042C8" w:rsidRDefault="00865F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2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2C8" w:rsidRDefault="00865F4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042C8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B042C8" w:rsidRDefault="00865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B042C8" w:rsidRDefault="00B042C8"/>
    <w:sectPr w:rsidR="00B04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5F46"/>
    <w:rsid w:val="00B042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6D540"/>
  <w15:docId w15:val="{91F67529-00FC-420B-898B-45CAC1F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2875</Words>
  <Characters>16389</Characters>
  <Application>Microsoft Office Word</Application>
  <DocSecurity>0</DocSecurity>
  <Lines>136</Lines>
  <Paragraphs>38</Paragraphs>
  <ScaleCrop>false</ScaleCrop>
  <Company>УрГЭУ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2022-2023_oz38_04_06_ОЗМ-ИЛ-22_plx_Контрактная логистика</dc:title>
  <dc:creator>FastReport.NET</dc:creator>
  <cp:lastModifiedBy>Хохолуш Мария Станиславовна</cp:lastModifiedBy>
  <cp:revision>2</cp:revision>
  <dcterms:created xsi:type="dcterms:W3CDTF">2022-04-13T11:33:00Z</dcterms:created>
  <dcterms:modified xsi:type="dcterms:W3CDTF">2022-04-13T11:33:00Z</dcterms:modified>
</cp:coreProperties>
</file>