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инструменты</w:t>
            </w:r>
            <w:r>
              <w:rPr/>
              <w:t xml:space="preserve"> </w:t>
            </w:r>
            <w:r>
              <w:rPr>
                <w:rFonts w:ascii="Times New Roman" w:hAnsi="Times New Roman" w:cs="Times New Roman"/>
                <w:color w:val="#000000"/>
                <w:sz w:val="24"/>
                <w:szCs w:val="24"/>
              </w:rPr>
              <w:t>анализа</w:t>
            </w:r>
            <w:r>
              <w:rPr/>
              <w:t xml:space="preserve"> </w:t>
            </w:r>
            <w:r>
              <w:rPr>
                <w:rFonts w:ascii="Times New Roman" w:hAnsi="Times New Roman" w:cs="Times New Roman"/>
                <w:color w:val="#000000"/>
                <w:sz w:val="24"/>
                <w:szCs w:val="24"/>
              </w:rPr>
              <w:t>рисков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и экспертные методы анализа риска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Процедуры принятия решений в рисковых ситуациях.</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Инструментарий принятия решений в рисковых ситуациях</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Хоминич И. П., Пещанская И. В., Ситникова Н. Ю., Архипов А. П., Качалова Е. Ш., Финогенова Ю. Ю., Перепелица Д. Г., Трифонов Б. И., Южакова О. А., Саввина О. В. Управление финансовыми рисками. [Электронный ресурс]:учебник и практикум для бакалавриата и магистратуры : для студентов вузов, обучающихся по экономическим направлениям и специальностям. - Москва: Юрайт, 2019. - 345 – Режим доступа: https://urait.ru/bcode/433674</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Пименов Н. А. Управление финансовыми рисками в системе экономической безопасности. [Электронный ресурс]:Учебник и практикум для вузов. - Москва: Юрайт, 2020. - 326 – Режим доступа: https://urait.ru/bcode/450094</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Воронцовский А. В. Управление рисками. [Электронный ресурс]:Учебник и практикум для вузов. - Москва: Юрайт, 2020. - 485 – Режим доступа: https://urait.ru/bcode/450664</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Шапкин А.С., Шапкин В.А. Экономические и финансовые риски. Оценка, управление, портфель инвестиций. [Электронный ресурс]:Практическое пособие. - Москва: Издательско- торговая корпорация "Дашков и К", 2020. - 544 – Режим доступа: https://znanium.com/catalog/product/1093535</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Гамукин В. В. Бюджетные риски: группы, виды, примеры.:монография. - Тюмень: Издательство ТГУ, 2015. - 338</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521" w:type="dxa"/>
          </w:tcPr>
          <w:p/>
        </w:tc>
        <w:tc>
          <w:tcPr>
            <w:tcW w:w="1600" w:type="dxa"/>
          </w:tcPr>
          <w:p/>
        </w:tc>
        <w:tc>
          <w:tcPr>
            <w:tcW w:w="7089" w:type="dxa"/>
          </w:tcPr>
          <w:p/>
        </w:tc>
        <w:tc>
          <w:tcPr>
            <w:tcW w:w="426" w:type="dxa"/>
          </w:tcP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4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Майя</w:t>
            </w:r>
            <w:r>
              <w:rPr/>
              <w:t xml:space="preserve"> </w:t>
            </w:r>
            <w:r>
              <w:rPr>
                <w:rFonts w:ascii="Times New Roman" w:hAnsi="Times New Roman" w:cs="Times New Roman"/>
                <w:color w:val="#000000"/>
                <w:sz w:val="24"/>
                <w:szCs w:val="24"/>
              </w:rPr>
              <w:t>Ивановна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2021-2022_38_04_01_М-ЭБиУР-21_plx_Методы и инструменты анализа рисков</dc:title>
  <dc:creator>FastReport.NET</dc:creator>
</cp:coreProperties>
</file>