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междисциплинарного курса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курс</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МДК.03.01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бюджетом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внебюджетными</w:t>
            </w:r>
            <w:r>
              <w:rPr/>
              <w:t xml:space="preserve"> </w:t>
            </w:r>
            <w:r>
              <w:rPr>
                <w:rFonts w:ascii="Times New Roman" w:hAnsi="Times New Roman" w:cs="Times New Roman"/>
                <w:color w:val="#000000"/>
                <w:sz w:val="24"/>
                <w:szCs w:val="24"/>
              </w:rPr>
              <w:t>фондами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междисциплинарного</w:t>
            </w:r>
            <w:r>
              <w:rPr/>
              <w:t xml:space="preserve"> </w:t>
            </w:r>
            <w:r>
              <w:rPr>
                <w:rFonts w:ascii="Times New Roman" w:hAnsi="Times New Roman" w:cs="Times New Roman"/>
                <w:color w:val="#000000"/>
                <w:sz w:val="24"/>
                <w:szCs w:val="24"/>
              </w:rPr>
              <w:t>курса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междисциплинарного</w:t>
            </w:r>
            <w:r>
              <w:rPr/>
              <w:t xml:space="preserve"> </w:t>
            </w:r>
            <w:r>
              <w:rPr>
                <w:rFonts w:ascii="Times New Roman" w:hAnsi="Times New Roman" w:cs="Times New Roman"/>
                <w:b/>
                <w:color w:val="#000000"/>
                <w:sz w:val="24"/>
                <w:szCs w:val="24"/>
              </w:rPr>
              <w:t>курса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налогов и сборов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бухгалтерского учета расчетов с бюджетом по налогам и сборам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бухгалтерского учета расчетов с бюджетом по налогам и сборам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Страховые взносы во внебюджетные фонды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бухгалтерского учета расчетов с внебюджетными фондами по страховым</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Кругляк З. И., Калинская М. В. Налоговый учет и отчетность в современных условиях. [Электронный ресурс]:Учебное пособие. - Москва: ООО "Научно-издательский центр ИНФРА-М", 2019. - 352 – Режим доступа: https://znanium.com/catalog/product/1002126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Малис Н. И., Грундел Л. П., Зинягина А. С. Налоговый учет и отчетность. [Электронный ресурс]:Учебник и практикум Для СПО. - Москва: Юрайт, 2020. - 407 – Режим доступа: https://urait.ru/bcode/453684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Пансков В. Г. Налоги и налогообложение. [Электронный ресурс]:Учебник и практикум Для СПО. - Москва: Юрайт, 2020. - 472 – Режим доступа: https://urait.ru/bcode/449529</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СПО. - Москва: Издательство Юрайт, 2020. - 490 – Режим доступа: https://urait.ru/bcode/448765</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Дмитриева И. М., Захаров И. В., Калачева О. Н. Бухгалтерский учет и анализ. [Электронный ресурс]:Учебник Для СПО. - Москва: Юрайт, 2020. - 423 – Режим доступа: https://urait.ru/bcode/450941</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Дмитриева И. М. Бухгалтерский учет. [Электронный ресурс]:Учебник и практикум Для СПО. - Москва: Юрайт, 2020. - 319 – Режим доступа: https://urait.ru/bcode/467050</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Керимов В.Э. Бухгалтерский учет. [Электронный ресурс]:Учебник. - Москва: Издательско- торговая корпорация "Дашков и К", 2020. - 582 – Режим доступа: https://znanium.com/catalog/product/1091814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Бурмистрова Л. М. Бухгалтерский учет. [Электронный ресурс]:Учебное пособие. - Москва: Издательство "ФОРУМ", 2019. - 318 – Режим доступа: https://znanium.com/catalog/product/1099268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Нешитой А.С. Бюджетная система Российской Федерации. [Электронный ресурс]:Учебник. - Москва: Издательско-торговая корпорация "Дашков и К", 2019. - 308 – Режим доступа: https://znanium.com/catalog/product/1093691</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1С:Бухгалтерия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торговлей.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небольшой</w:t>
            </w:r>
            <w:r>
              <w:rPr/>
              <w:t xml:space="preserve"> </w:t>
            </w:r>
            <w:r>
              <w:rPr>
                <w:rFonts w:ascii="Times New Roman" w:hAnsi="Times New Roman" w:cs="Times New Roman"/>
                <w:color w:val="#000000"/>
                <w:sz w:val="24"/>
                <w:szCs w:val="24"/>
              </w:rPr>
              <w:t>фирмой.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1C:</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Единое</w:t>
            </w:r>
            <w:r>
              <w:rPr/>
              <w:t xml:space="preserve"> </w:t>
            </w:r>
            <w:r>
              <w:rPr>
                <w:rFonts w:ascii="Times New Roman" w:hAnsi="Times New Roman" w:cs="Times New Roman"/>
                <w:b/>
                <w:color w:val="#000000"/>
                <w:sz w:val="24"/>
                <w:szCs w:val="24"/>
              </w:rPr>
              <w:t>окно</w:t>
            </w:r>
            <w:r>
              <w:rPr/>
              <w:t xml:space="preserve"> </w:t>
            </w:r>
            <w:r>
              <w:rPr>
                <w:rFonts w:ascii="Times New Roman" w:hAnsi="Times New Roman" w:cs="Times New Roman"/>
                <w:b/>
                <w:color w:val="#000000"/>
                <w:sz w:val="24"/>
                <w:szCs w:val="24"/>
              </w:rPr>
              <w:t>доступа</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образовательным</w:t>
            </w:r>
            <w:r>
              <w:rPr/>
              <w:t xml:space="preserve"> </w:t>
            </w:r>
            <w:r>
              <w:rPr>
                <w:rFonts w:ascii="Times New Roman" w:hAnsi="Times New Roman" w:cs="Times New Roman"/>
                <w:b/>
                <w:color w:val="#000000"/>
                <w:sz w:val="24"/>
                <w:szCs w:val="24"/>
              </w:rPr>
              <w:t>ресурсам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http://window.edu.ru/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науки</w:t>
            </w:r>
            <w:r>
              <w:rPr/>
              <w:t xml:space="preserve"> </w:t>
            </w:r>
            <w:r>
              <w:rPr>
                <w:rFonts w:ascii="Times New Roman" w:hAnsi="Times New Roman" w:cs="Times New Roman"/>
                <w:b/>
                <w:color w:val="#000000"/>
                <w:sz w:val="24"/>
                <w:szCs w:val="24"/>
              </w:rPr>
              <w:t>РФ</w:t>
            </w:r>
            <w:r>
              <w:rPr/>
              <w:t xml:space="preserve"> </w:t>
            </w:r>
            <w:r>
              <w:rPr>
                <w:rFonts w:ascii="Times New Roman" w:hAnsi="Times New Roman" w:cs="Times New Roman"/>
                <w:b/>
                <w:color w:val="#000000"/>
                <w:sz w:val="24"/>
                <w:szCs w:val="24"/>
              </w:rPr>
              <w:t>ФГАУ</w:t>
            </w:r>
            <w:r>
              <w:rPr/>
              <w:t xml:space="preserve"> </w:t>
            </w:r>
            <w:r>
              <w:rPr>
                <w:rFonts w:ascii="Times New Roman" w:hAnsi="Times New Roman" w:cs="Times New Roman"/>
                <w:b/>
                <w:color w:val="#000000"/>
                <w:sz w:val="24"/>
                <w:szCs w:val="24"/>
              </w:rPr>
              <w:t>«ФИРО»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http://www.firo.ru/</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Портал</w:t>
            </w:r>
            <w:r>
              <w:rPr/>
              <w:t xml:space="preserve"> </w:t>
            </w:r>
            <w:r>
              <w:rPr>
                <w:rFonts w:ascii="Times New Roman" w:hAnsi="Times New Roman" w:cs="Times New Roman"/>
                <w:b/>
                <w:color w:val="#000000"/>
                <w:sz w:val="24"/>
                <w:szCs w:val="24"/>
              </w:rPr>
              <w:t>«Всеобуч»-</w:t>
            </w:r>
            <w:r>
              <w:rPr/>
              <w:t xml:space="preserve"> </w:t>
            </w:r>
            <w:r>
              <w:rPr>
                <w:rFonts w:ascii="Times New Roman" w:hAnsi="Times New Roman" w:cs="Times New Roman"/>
                <w:b/>
                <w:color w:val="#000000"/>
                <w:sz w:val="24"/>
                <w:szCs w:val="24"/>
              </w:rPr>
              <w:t>справочно-информационный</w:t>
            </w:r>
            <w:r>
              <w:rPr/>
              <w:t xml:space="preserve"> </w:t>
            </w:r>
            <w:r>
              <w:rPr>
                <w:rFonts w:ascii="Times New Roman" w:hAnsi="Times New Roman" w:cs="Times New Roman"/>
                <w:b/>
                <w:color w:val="#000000"/>
                <w:sz w:val="24"/>
                <w:szCs w:val="24"/>
              </w:rPr>
              <w:t>образовательный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единое</w:t>
            </w:r>
            <w:r>
              <w:rPr/>
              <w:t xml:space="preserve"> </w:t>
            </w:r>
            <w:r>
              <w:rPr>
                <w:rFonts w:ascii="Times New Roman" w:hAnsi="Times New Roman" w:cs="Times New Roman"/>
                <w:b/>
                <w:color w:val="#000000"/>
                <w:sz w:val="24"/>
                <w:szCs w:val="24"/>
              </w:rPr>
              <w:t>окно</w:t>
            </w:r>
            <w:r>
              <w:rPr/>
              <w:t xml:space="preserve"> </w:t>
            </w:r>
            <w:r>
              <w:rPr>
                <w:rFonts w:ascii="Times New Roman" w:hAnsi="Times New Roman" w:cs="Times New Roman"/>
                <w:b/>
                <w:color w:val="#000000"/>
                <w:sz w:val="24"/>
                <w:szCs w:val="24"/>
              </w:rPr>
              <w:t>доступа</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образовательным</w:t>
            </w:r>
            <w:r>
              <w:rPr/>
              <w:t xml:space="preserve"> </w:t>
            </w:r>
            <w:r>
              <w:rPr>
                <w:rFonts w:ascii="Times New Roman" w:hAnsi="Times New Roman" w:cs="Times New Roman"/>
                <w:b/>
                <w:color w:val="#000000"/>
                <w:sz w:val="24"/>
                <w:szCs w:val="24"/>
              </w:rPr>
              <w:t>ресурсам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http://www.edu-all.ru/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Экономико–правовая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http://www.vuzlib.net</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Пенсионного</w:t>
            </w:r>
            <w:r>
              <w:rPr/>
              <w:t xml:space="preserve"> </w:t>
            </w:r>
            <w:r>
              <w:rPr>
                <w:rFonts w:ascii="Times New Roman" w:hAnsi="Times New Roman" w:cs="Times New Roman"/>
                <w:b/>
                <w:color w:val="#000000"/>
                <w:sz w:val="24"/>
                <w:szCs w:val="24"/>
              </w:rPr>
              <w:t>фонда</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http://www.pfrf.ru/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Фонда</w:t>
            </w:r>
            <w:r>
              <w:rPr/>
              <w:t xml:space="preserve"> </w:t>
            </w:r>
            <w:r>
              <w:rPr>
                <w:rFonts w:ascii="Times New Roman" w:hAnsi="Times New Roman" w:cs="Times New Roman"/>
                <w:b/>
                <w:color w:val="#000000"/>
                <w:sz w:val="24"/>
                <w:szCs w:val="24"/>
              </w:rPr>
              <w:t>социального</w:t>
            </w:r>
            <w:r>
              <w:rPr/>
              <w:t xml:space="preserve"> </w:t>
            </w:r>
            <w:r>
              <w:rPr>
                <w:rFonts w:ascii="Times New Roman" w:hAnsi="Times New Roman" w:cs="Times New Roman"/>
                <w:b/>
                <w:color w:val="#000000"/>
                <w:sz w:val="24"/>
                <w:szCs w:val="24"/>
              </w:rPr>
              <w:t>страхования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http://fss.ru/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Фонда</w:t>
            </w:r>
            <w:r>
              <w:rPr/>
              <w:t xml:space="preserve"> </w:t>
            </w:r>
            <w:r>
              <w:rPr>
                <w:rFonts w:ascii="Times New Roman" w:hAnsi="Times New Roman" w:cs="Times New Roman"/>
                <w:b/>
                <w:color w:val="#000000"/>
                <w:sz w:val="24"/>
                <w:szCs w:val="24"/>
              </w:rPr>
              <w:t>обязательного</w:t>
            </w:r>
            <w:r>
              <w:rPr/>
              <w:t xml:space="preserve"> </w:t>
            </w:r>
            <w:r>
              <w:rPr>
                <w:rFonts w:ascii="Times New Roman" w:hAnsi="Times New Roman" w:cs="Times New Roman"/>
                <w:b/>
                <w:color w:val="#000000"/>
                <w:sz w:val="24"/>
                <w:szCs w:val="24"/>
              </w:rPr>
              <w:t>медицинского</w:t>
            </w:r>
            <w:r>
              <w:rPr/>
              <w:t xml:space="preserve"> </w:t>
            </w:r>
            <w:r>
              <w:rPr>
                <w:rFonts w:ascii="Times New Roman" w:hAnsi="Times New Roman" w:cs="Times New Roman"/>
                <w:b/>
                <w:color w:val="#000000"/>
                <w:sz w:val="24"/>
                <w:szCs w:val="24"/>
              </w:rPr>
              <w:t>страхования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http://www.ffoms.ru/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статистики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http://www.gks.ru/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Г.А.</w:t>
            </w:r>
            <w:r>
              <w:rPr/>
              <w:t xml:space="preserve"> </w:t>
            </w:r>
            <w:r>
              <w:rPr>
                <w:rFonts w:ascii="Times New Roman" w:hAnsi="Times New Roman" w:cs="Times New Roman"/>
                <w:color w:val="#000000"/>
                <w:sz w:val="24"/>
                <w:szCs w:val="24"/>
              </w:rPr>
              <w:t>Ламтева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Экономика и бухгалтерский учет 9 кл 2021 очная форма_osf_Организация расчетов с бюджетом и внебюджетными фондами</dc:title>
  <dc:creator>FastReport.NET</dc:creator>
</cp:coreProperties>
</file>